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F96D8" w14:textId="77777777" w:rsidR="007A1D50" w:rsidRPr="00D61099" w:rsidRDefault="007A1D50" w:rsidP="007A1D50">
      <w:pPr>
        <w:rPr>
          <w:rFonts w:ascii="Arial" w:hAnsi="Arial" w:cs="Arial"/>
        </w:rPr>
      </w:pPr>
      <w:r w:rsidRPr="00D61099">
        <w:rPr>
          <w:rStyle w:val="Zwaar"/>
          <w:rFonts w:ascii="Arial" w:hAnsi="Arial" w:cs="Arial"/>
          <w:sz w:val="20"/>
          <w:szCs w:val="20"/>
        </w:rPr>
        <w:t>BEGRIPPENLIJST</w:t>
      </w:r>
    </w:p>
    <w:p w14:paraId="637ABDB9" w14:textId="77777777" w:rsidR="007A1D50" w:rsidRPr="00BE5181" w:rsidRDefault="007A1D50" w:rsidP="007A1D50">
      <w:pPr>
        <w:jc w:val="both"/>
        <w:rPr>
          <w:rFonts w:ascii="Arial" w:hAnsi="Arial" w:cs="Arial"/>
          <w:sz w:val="20"/>
          <w:szCs w:val="20"/>
        </w:rPr>
      </w:pPr>
      <w:r w:rsidRPr="00BE5181">
        <w:rPr>
          <w:rFonts w:ascii="Arial" w:hAnsi="Arial" w:cs="Arial"/>
          <w:sz w:val="20"/>
          <w:szCs w:val="20"/>
        </w:rPr>
        <w:t xml:space="preserve">In aanvulling op de in </w:t>
      </w:r>
      <w:r w:rsidRPr="009812DA">
        <w:rPr>
          <w:rFonts w:ascii="Arial" w:eastAsia="Arial Unicode MS" w:hAnsi="Arial" w:cs="Arial"/>
          <w:sz w:val="20"/>
          <w:szCs w:val="20"/>
        </w:rPr>
        <w:t>ARN</w:t>
      </w:r>
      <w:r w:rsidRPr="009812DA">
        <w:rPr>
          <w:rFonts w:ascii="Arial" w:eastAsia="Arial Unicode MS" w:hAnsi="Arial" w:cs="Arial"/>
          <w:sz w:val="20"/>
          <w:szCs w:val="20"/>
          <w:vertAlign w:val="superscript"/>
        </w:rPr>
        <w:t>2016</w:t>
      </w:r>
      <w:r w:rsidRPr="00BE5181">
        <w:rPr>
          <w:rFonts w:ascii="Arial" w:hAnsi="Arial" w:cs="Arial"/>
          <w:sz w:val="20"/>
          <w:szCs w:val="20"/>
        </w:rPr>
        <w:t>, Deel I, artikel 1 opgenomen aanduidingen en begripsbepalingen</w:t>
      </w:r>
      <w:r>
        <w:rPr>
          <w:rFonts w:ascii="Arial" w:hAnsi="Arial" w:cs="Arial"/>
          <w:sz w:val="20"/>
          <w:szCs w:val="20"/>
        </w:rPr>
        <w:t>,</w:t>
      </w:r>
      <w:r w:rsidRPr="00BE51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 w:rsidRPr="00BE5181">
        <w:rPr>
          <w:rFonts w:ascii="Arial" w:hAnsi="Arial" w:cs="Arial"/>
          <w:sz w:val="20"/>
          <w:szCs w:val="20"/>
        </w:rPr>
        <w:t xml:space="preserve"> in deze selectieleidraad de volgende begrippen</w:t>
      </w:r>
      <w:r>
        <w:rPr>
          <w:rFonts w:ascii="Arial" w:hAnsi="Arial" w:cs="Arial"/>
          <w:sz w:val="20"/>
          <w:szCs w:val="20"/>
        </w:rPr>
        <w:t xml:space="preserve"> van toepassing</w:t>
      </w:r>
      <w:r w:rsidRPr="00BE5181">
        <w:rPr>
          <w:rFonts w:ascii="Arial" w:hAnsi="Arial" w:cs="Arial"/>
          <w:sz w:val="20"/>
          <w:szCs w:val="20"/>
        </w:rPr>
        <w:t>:</w:t>
      </w:r>
    </w:p>
    <w:tbl>
      <w:tblPr>
        <w:tblStyle w:val="Tabelraster"/>
        <w:tblW w:w="93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520"/>
      </w:tblGrid>
      <w:tr w:rsidR="007A1D50" w:rsidRPr="00BE5181" w14:paraId="0C169FE2" w14:textId="77777777" w:rsidTr="00EE4F72">
        <w:tc>
          <w:tcPr>
            <w:tcW w:w="2376" w:type="dxa"/>
          </w:tcPr>
          <w:p w14:paraId="76CD5991" w14:textId="77777777" w:rsidR="007A1D50" w:rsidRDefault="007A1D50" w:rsidP="007A1D50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Aanbestedingswet</w:t>
            </w:r>
          </w:p>
          <w:p w14:paraId="3EF1F714" w14:textId="77777777" w:rsidR="007A1D50" w:rsidRPr="00BE5181" w:rsidRDefault="007A1D50" w:rsidP="00EE4F72">
            <w:pPr>
              <w:ind w:left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A08737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207037BA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 xml:space="preserve">de Aanbestedingswet 2012, </w:t>
            </w:r>
            <w:r>
              <w:rPr>
                <w:rFonts w:ascii="Arial" w:hAnsi="Arial" w:cs="Arial"/>
                <w:sz w:val="20"/>
                <w:szCs w:val="20"/>
              </w:rPr>
              <w:t xml:space="preserve">gewijzigd 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per 1 </w:t>
            </w:r>
            <w:r>
              <w:rPr>
                <w:rFonts w:ascii="Arial" w:hAnsi="Arial" w:cs="Arial"/>
                <w:sz w:val="20"/>
                <w:szCs w:val="20"/>
              </w:rPr>
              <w:t xml:space="preserve">juli </w:t>
            </w:r>
            <w:r w:rsidRPr="00BE5181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ter implementatie van de richtlijnen</w:t>
            </w:r>
            <w:r>
              <w:rPr>
                <w:rFonts w:ascii="Arial" w:hAnsi="Arial" w:cs="Arial"/>
                <w:sz w:val="20"/>
                <w:szCs w:val="20"/>
              </w:rPr>
              <w:t xml:space="preserve"> 2014/23/EU, 2014/24/EU en 2014/25/EU</w:t>
            </w:r>
            <w:r w:rsidRPr="00BE51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1D50" w:rsidRPr="00BE5181" w14:paraId="22ED5451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5B005540" w14:textId="77777777" w:rsidR="007A1D50" w:rsidRPr="00BE5181" w:rsidRDefault="007A1D50" w:rsidP="007A1D50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Aanmelding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36D36246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666DF217" w14:textId="77777777" w:rsidR="007A1D50" w:rsidRPr="00BE5181" w:rsidRDefault="007A1D50" w:rsidP="007A1D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5181">
              <w:rPr>
                <w:rFonts w:ascii="Arial" w:hAnsi="Arial" w:cs="Arial"/>
                <w:sz w:val="20"/>
                <w:szCs w:val="20"/>
              </w:rPr>
              <w:t>het</w:t>
            </w:r>
            <w:proofErr w:type="gramEnd"/>
            <w:r w:rsidRPr="00BE5181">
              <w:rPr>
                <w:rFonts w:ascii="Arial" w:hAnsi="Arial" w:cs="Arial"/>
                <w:sz w:val="20"/>
                <w:szCs w:val="20"/>
              </w:rPr>
              <w:t xml:space="preserve"> verzoek deel te nemen aan de selectieprocedure. Aanmelding geschiedt door indiening van de documenten als bedoeld in paragr</w:t>
            </w:r>
            <w:r>
              <w:rPr>
                <w:rFonts w:ascii="Arial" w:hAnsi="Arial" w:cs="Arial"/>
                <w:sz w:val="20"/>
                <w:szCs w:val="20"/>
              </w:rPr>
              <w:t>aaf 3.5</w:t>
            </w:r>
            <w:r w:rsidRPr="00BE51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1D50" w:rsidRPr="00BE5181" w14:paraId="0C9DDE02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05C879DA" w14:textId="77777777" w:rsidR="007A1D50" w:rsidRPr="00BE5181" w:rsidRDefault="007A1D50" w:rsidP="007A1D50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2DA">
              <w:rPr>
                <w:rFonts w:ascii="Arial" w:eastAsia="Arial Unicode MS" w:hAnsi="Arial" w:cs="Arial"/>
                <w:sz w:val="20"/>
                <w:szCs w:val="20"/>
              </w:rPr>
              <w:t>ARN</w:t>
            </w:r>
            <w:r w:rsidRPr="009812DA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2016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76F74C2D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08324C18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</w:t>
            </w:r>
            <w:r w:rsidRPr="00BE5181">
              <w:rPr>
                <w:rFonts w:ascii="Arial" w:hAnsi="Arial" w:cs="Arial"/>
                <w:sz w:val="20"/>
                <w:szCs w:val="20"/>
              </w:rPr>
              <w:t>Aanbestedingsreglement Nutssectoren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41C06">
              <w:rPr>
                <w:rFonts w:ascii="Arial" w:hAnsi="Arial" w:cs="Arial"/>
                <w:sz w:val="20"/>
                <w:szCs w:val="20"/>
              </w:rPr>
              <w:t xml:space="preserve">versie 1.0, vastgesteld op </w:t>
            </w:r>
            <w:r>
              <w:rPr>
                <w:rFonts w:ascii="Arial" w:hAnsi="Arial" w:cs="Arial"/>
                <w:sz w:val="20"/>
                <w:szCs w:val="20"/>
              </w:rPr>
              <w:t>1 juli 2016</w:t>
            </w:r>
            <w:r w:rsidRPr="005D32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1D50" w:rsidRPr="00BE5181" w14:paraId="3F789356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1F5AA96D" w14:textId="77777777" w:rsidR="007A1D50" w:rsidRPr="00BE5181" w:rsidRDefault="007A1D50" w:rsidP="007A1D50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Eigen Verklaring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74228500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6B553900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het</w:t>
            </w:r>
            <w:proofErr w:type="gramEnd"/>
            <w:r w:rsidRPr="00BE51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door de Europese Commissie vastgestelde Uniform Europees Aanbestedingsdocument (UEA) 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als bedoeld in artikel 2:84 </w:t>
            </w:r>
            <w:r>
              <w:rPr>
                <w:rFonts w:ascii="Arial" w:hAnsi="Arial" w:cs="Arial"/>
                <w:sz w:val="20"/>
                <w:szCs w:val="20"/>
              </w:rPr>
              <w:t>Aanbestedingswet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A1D50" w:rsidRPr="00BE5181" w14:paraId="72983791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0FB91819" w14:textId="77777777" w:rsidR="007A1D50" w:rsidRPr="00BE5181" w:rsidRDefault="007A1D50" w:rsidP="007A1D50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Gedragsverklaring Aanbesteden (GVA)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4ADE1FFE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467E33DB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de verklaring als bedoeld in artikel 4.1 van de Aanbestedingswet.</w:t>
            </w:r>
          </w:p>
        </w:tc>
      </w:tr>
      <w:tr w:rsidR="007A1D50" w:rsidRPr="00BE5181" w14:paraId="323CF479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54989BCD" w14:textId="77777777" w:rsidR="007A1D50" w:rsidRPr="00BE5181" w:rsidRDefault="007A1D50" w:rsidP="007A1D50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 xml:space="preserve">Gegadigde 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7D9DF77D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302C6575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een ondernemer (natuurlijke of rechtspersoon) of een combinatie van ondernemers die een Aanmelding voor de selectieprocedure heeft ingediend</w:t>
            </w:r>
            <w:r>
              <w:rPr>
                <w:rFonts w:ascii="Arial" w:hAnsi="Arial" w:cs="Arial"/>
                <w:sz w:val="20"/>
                <w:szCs w:val="20"/>
              </w:rPr>
              <w:t>, dan wel het voornemen heeft ee</w:t>
            </w:r>
            <w:r w:rsidRPr="00BE5181">
              <w:rPr>
                <w:rFonts w:ascii="Arial" w:hAnsi="Arial" w:cs="Arial"/>
                <w:sz w:val="20"/>
                <w:szCs w:val="20"/>
              </w:rPr>
              <w:t>n Aanmelding in te dienen.</w:t>
            </w:r>
          </w:p>
        </w:tc>
      </w:tr>
      <w:tr w:rsidR="007A1D50" w:rsidRPr="00BE5181" w14:paraId="631EE583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677B9DEC" w14:textId="77777777" w:rsidR="007A1D50" w:rsidRPr="00BE5181" w:rsidRDefault="007A1D50" w:rsidP="007A1D50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Inschrijver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0C664A05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4B3248C7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E5181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BE5181">
              <w:rPr>
                <w:rFonts w:ascii="Arial" w:hAnsi="Arial" w:cs="Arial"/>
                <w:sz w:val="20"/>
                <w:szCs w:val="20"/>
              </w:rPr>
              <w:t xml:space="preserve"> Gegadigde die met toepassing van de selectieprocedure, zoals beschreven in deze selectieleidraad, door GVB is geselecteerd voor de gunningsfase. De</w:t>
            </w:r>
            <w:r>
              <w:rPr>
                <w:rFonts w:ascii="Arial" w:hAnsi="Arial" w:cs="Arial"/>
                <w:sz w:val="20"/>
                <w:szCs w:val="20"/>
              </w:rPr>
              <w:t>ze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geselecteerde Gegadigden ontvangen van GVB een uitnodiging tot </w:t>
            </w:r>
            <w:r>
              <w:rPr>
                <w:rFonts w:ascii="Arial" w:hAnsi="Arial" w:cs="Arial"/>
                <w:sz w:val="20"/>
                <w:szCs w:val="20"/>
              </w:rPr>
              <w:t xml:space="preserve">het doen </w:t>
            </w:r>
            <w:r w:rsidRPr="005D3281">
              <w:rPr>
                <w:rFonts w:ascii="Arial" w:hAnsi="Arial" w:cs="Arial"/>
                <w:sz w:val="20"/>
                <w:szCs w:val="20"/>
              </w:rPr>
              <w:t xml:space="preserve">van </w:t>
            </w:r>
            <w:r w:rsidRPr="00541C06">
              <w:rPr>
                <w:rFonts w:ascii="Arial" w:hAnsi="Arial" w:cs="Arial"/>
                <w:sz w:val="20"/>
                <w:szCs w:val="20"/>
              </w:rPr>
              <w:t xml:space="preserve">een </w:t>
            </w:r>
            <w:r>
              <w:rPr>
                <w:rFonts w:ascii="Arial" w:hAnsi="Arial" w:cs="Arial"/>
                <w:sz w:val="20"/>
                <w:szCs w:val="20"/>
              </w:rPr>
              <w:t>inschrijving</w:t>
            </w:r>
            <w:r w:rsidRPr="00BE51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1D50" w:rsidRPr="00BE5181" w14:paraId="3ADC5A10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3357D005" w14:textId="77777777" w:rsidR="007A1D50" w:rsidRPr="00BE5181" w:rsidRDefault="007A1D50" w:rsidP="007A1D50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Nota van Inlichtingen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4AD42C34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48B09F4E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5181">
              <w:rPr>
                <w:rFonts w:ascii="Arial" w:hAnsi="Arial" w:cs="Arial"/>
                <w:sz w:val="20"/>
                <w:szCs w:val="20"/>
              </w:rPr>
              <w:t>het</w:t>
            </w:r>
            <w:proofErr w:type="gramEnd"/>
            <w:r w:rsidRPr="00BE5181">
              <w:rPr>
                <w:rFonts w:ascii="Arial" w:hAnsi="Arial" w:cs="Arial"/>
                <w:sz w:val="20"/>
                <w:szCs w:val="20"/>
              </w:rPr>
              <w:t xml:space="preserve"> document waarin GVB nadere inlichtingen verstrekt aan de </w:t>
            </w:r>
            <w:r>
              <w:rPr>
                <w:rFonts w:ascii="Arial" w:hAnsi="Arial" w:cs="Arial"/>
                <w:sz w:val="20"/>
                <w:szCs w:val="20"/>
              </w:rPr>
              <w:t>Gegadigde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naar aanleiding van vragen en opmerkingen over de selectieleidraad en bijbehorende </w:t>
            </w:r>
            <w:r>
              <w:rPr>
                <w:rFonts w:ascii="Arial" w:hAnsi="Arial" w:cs="Arial"/>
                <w:sz w:val="20"/>
                <w:szCs w:val="20"/>
              </w:rPr>
              <w:t>aanbestedings</w:t>
            </w:r>
            <w:r w:rsidRPr="00BE5181">
              <w:rPr>
                <w:rFonts w:ascii="Arial" w:hAnsi="Arial" w:cs="Arial"/>
                <w:sz w:val="20"/>
                <w:szCs w:val="20"/>
              </w:rPr>
              <w:t>documenten.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1D50" w:rsidRPr="00BE5181" w14:paraId="396D1EE7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3277F2C7" w14:textId="77777777" w:rsidR="007A1D50" w:rsidRPr="00BE5181" w:rsidRDefault="007A1D50" w:rsidP="007A1D50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Opdrachtnemer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3EA98366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0822C85C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Inschrijver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met wie GVB in het kader van deze aanbesteding een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raam</w:t>
            </w:r>
            <w:r w:rsidRPr="005D3281">
              <w:rPr>
                <w:rFonts w:ascii="Arial" w:hAnsi="Arial" w:cs="Arial"/>
                <w:sz w:val="20"/>
                <w:szCs w:val="20"/>
              </w:rPr>
              <w:t>overeenkomst sluit ter uitvoerin</w:t>
            </w:r>
            <w:bookmarkStart w:id="0" w:name="_GoBack"/>
            <w:bookmarkEnd w:id="0"/>
            <w:r w:rsidRPr="005D3281">
              <w:rPr>
                <w:rFonts w:ascii="Arial" w:hAnsi="Arial" w:cs="Arial"/>
                <w:sz w:val="20"/>
                <w:szCs w:val="20"/>
              </w:rPr>
              <w:t>g van de opdracht</w:t>
            </w:r>
            <w:r w:rsidRPr="005F2C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1D50" w:rsidRPr="00BE5181" w14:paraId="79C4AAF3" w14:textId="77777777" w:rsidTr="00EE4F72">
        <w:tc>
          <w:tcPr>
            <w:tcW w:w="2376" w:type="dxa"/>
            <w:tcMar>
              <w:top w:w="85" w:type="dxa"/>
              <w:bottom w:w="85" w:type="dxa"/>
            </w:tcMar>
          </w:tcPr>
          <w:p w14:paraId="2A476793" w14:textId="77777777" w:rsidR="007A1D50" w:rsidRPr="00BE5181" w:rsidRDefault="007A1D50" w:rsidP="007A1D5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D1B1D">
              <w:rPr>
                <w:rFonts w:ascii="Arial" w:hAnsi="Arial" w:cs="Arial"/>
                <w:sz w:val="20"/>
                <w:szCs w:val="20"/>
              </w:rPr>
              <w:t>Negometrix</w:t>
            </w:r>
          </w:p>
        </w:tc>
        <w:tc>
          <w:tcPr>
            <w:tcW w:w="426" w:type="dxa"/>
            <w:tcMar>
              <w:top w:w="85" w:type="dxa"/>
              <w:bottom w:w="85" w:type="dxa"/>
            </w:tcMar>
          </w:tcPr>
          <w:p w14:paraId="105D3C36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1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14:paraId="63DB93DF" w14:textId="77777777" w:rsidR="007A1D50" w:rsidRPr="00BE5181" w:rsidRDefault="007A1D50" w:rsidP="00EE4F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aanbestedingstool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voor </w:t>
            </w:r>
            <w:r>
              <w:rPr>
                <w:rFonts w:ascii="Arial" w:hAnsi="Arial" w:cs="Arial"/>
                <w:sz w:val="20"/>
                <w:szCs w:val="20"/>
              </w:rPr>
              <w:t xml:space="preserve">elektronisch </w:t>
            </w:r>
            <w:r w:rsidRPr="00BE5181">
              <w:rPr>
                <w:rFonts w:ascii="Arial" w:hAnsi="Arial" w:cs="Arial"/>
                <w:sz w:val="20"/>
                <w:szCs w:val="20"/>
              </w:rPr>
              <w:t>aanbesteden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E5181">
              <w:rPr>
                <w:rFonts w:ascii="Arial" w:hAnsi="Arial" w:cs="Arial"/>
                <w:sz w:val="20"/>
                <w:szCs w:val="20"/>
              </w:rPr>
              <w:t xml:space="preserve"> als bedoeld in artikel 4.13 Aanbestedingswet.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8DF1D6C" w14:textId="77777777" w:rsidR="00817871" w:rsidRDefault="00817871" w:rsidP="007A1D50">
      <w:pPr>
        <w:pStyle w:val="Titel"/>
        <w:spacing w:line="276" w:lineRule="auto"/>
      </w:pPr>
    </w:p>
    <w:sectPr w:rsidR="0081787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CEE87" w14:textId="77777777" w:rsidR="0060440A" w:rsidRDefault="0060440A">
      <w:pPr>
        <w:spacing w:after="0" w:line="240" w:lineRule="auto"/>
      </w:pPr>
      <w:r>
        <w:separator/>
      </w:r>
    </w:p>
  </w:endnote>
  <w:endnote w:type="continuationSeparator" w:id="0">
    <w:p w14:paraId="340B9BC0" w14:textId="77777777" w:rsidR="0060440A" w:rsidRDefault="006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75753" w14:textId="77777777" w:rsidR="0087384A" w:rsidRDefault="0060440A" w:rsidP="00D56613">
    <w:pPr>
      <w:pStyle w:val="Voettekst"/>
      <w:spacing w:line="276" w:lineRule="auto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4"/>
      <w:gridCol w:w="2720"/>
      <w:gridCol w:w="3018"/>
    </w:tblGrid>
    <w:tr w:rsidR="0087384A" w14:paraId="2805BD4E" w14:textId="77777777" w:rsidTr="0048676D">
      <w:tc>
        <w:tcPr>
          <w:tcW w:w="3369" w:type="dxa"/>
        </w:tcPr>
        <w:p w14:paraId="727DE237" w14:textId="77777777" w:rsidR="0087384A" w:rsidRPr="00FA6FFE" w:rsidRDefault="001A41E6" w:rsidP="0048676D">
          <w:pPr>
            <w:pStyle w:val="Voettekst"/>
            <w:spacing w:line="276" w:lineRule="auto"/>
            <w:rPr>
              <w:rFonts w:ascii="Arial" w:hAnsi="Arial" w:cs="Arial"/>
              <w:color w:val="808080" w:themeColor="background1" w:themeShade="80"/>
              <w:sz w:val="14"/>
              <w:szCs w:val="14"/>
            </w:rPr>
          </w:pP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Aanbestedingsleidraad</w:t>
          </w:r>
          <w:r w:rsidRPr="00FA6FFE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GVB</w:t>
          </w:r>
        </w:p>
        <w:p w14:paraId="625C5ABB" w14:textId="77777777" w:rsidR="0087384A" w:rsidRDefault="001A41E6" w:rsidP="00FF5DB7">
          <w:pPr>
            <w:pStyle w:val="Voettekst"/>
            <w:spacing w:line="276" w:lineRule="auto"/>
          </w:pPr>
          <w:r w:rsidRPr="00FA6FFE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(versie 0.</w:t>
          </w:r>
          <w:r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1</w:t>
          </w:r>
          <w:r w:rsidRPr="00FA6FFE">
            <w:rPr>
              <w:rFonts w:ascii="Arial" w:hAnsi="Arial" w:cs="Arial"/>
              <w:color w:val="808080" w:themeColor="background1" w:themeShade="80"/>
              <w:sz w:val="14"/>
              <w:szCs w:val="14"/>
            </w:rPr>
            <w:t>)</w:t>
          </w:r>
        </w:p>
      </w:tc>
      <w:tc>
        <w:tcPr>
          <w:tcW w:w="2772" w:type="dxa"/>
        </w:tcPr>
        <w:p w14:paraId="0C11906D" w14:textId="77777777" w:rsidR="0087384A" w:rsidRDefault="0060440A" w:rsidP="0048676D">
          <w:pPr>
            <w:pStyle w:val="Voettekst"/>
            <w:spacing w:line="276" w:lineRule="auto"/>
          </w:pPr>
        </w:p>
      </w:tc>
      <w:tc>
        <w:tcPr>
          <w:tcW w:w="3071" w:type="dxa"/>
        </w:tcPr>
        <w:p w14:paraId="18DE6CEF" w14:textId="77777777" w:rsidR="0087384A" w:rsidRPr="00610DA0" w:rsidRDefault="001A41E6" w:rsidP="0048676D">
          <w:pPr>
            <w:pStyle w:val="Voettekst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610DA0">
            <w:rPr>
              <w:rFonts w:ascii="Arial" w:eastAsia="Times New Roman" w:hAnsi="Arial" w:cs="Arial"/>
              <w:sz w:val="18"/>
              <w:szCs w:val="18"/>
              <w:lang w:eastAsia="nl-NL"/>
            </w:rPr>
            <w:fldChar w:fldCharType="begin"/>
          </w:r>
          <w:r w:rsidRPr="00610DA0">
            <w:rPr>
              <w:rFonts w:ascii="Arial" w:eastAsia="Times New Roman" w:hAnsi="Arial" w:cs="Arial"/>
              <w:sz w:val="18"/>
              <w:szCs w:val="18"/>
              <w:lang w:eastAsia="nl-NL"/>
            </w:rPr>
            <w:instrText xml:space="preserve"> PAGE  \* MERGEFORMAT </w:instrText>
          </w:r>
          <w:r w:rsidRPr="00610DA0">
            <w:rPr>
              <w:rFonts w:ascii="Arial" w:eastAsia="Times New Roman" w:hAnsi="Arial" w:cs="Arial"/>
              <w:sz w:val="18"/>
              <w:szCs w:val="18"/>
              <w:lang w:eastAsia="nl-NL"/>
            </w:rPr>
            <w:fldChar w:fldCharType="separate"/>
          </w:r>
          <w:r w:rsidR="00ED1B1D">
            <w:rPr>
              <w:rFonts w:ascii="Arial" w:eastAsia="Times New Roman" w:hAnsi="Arial" w:cs="Arial"/>
              <w:noProof/>
              <w:sz w:val="18"/>
              <w:szCs w:val="18"/>
              <w:lang w:eastAsia="nl-NL"/>
            </w:rPr>
            <w:t>1</w:t>
          </w:r>
          <w:r w:rsidRPr="00610DA0">
            <w:rPr>
              <w:rFonts w:ascii="Arial" w:eastAsia="Times New Roman" w:hAnsi="Arial" w:cs="Arial"/>
              <w:sz w:val="18"/>
              <w:szCs w:val="18"/>
              <w:lang w:eastAsia="nl-NL"/>
            </w:rPr>
            <w:fldChar w:fldCharType="end"/>
          </w:r>
          <w:r w:rsidRPr="00610DA0">
            <w:rPr>
              <w:rFonts w:ascii="Arial" w:eastAsia="Times New Roman" w:hAnsi="Arial" w:cs="Arial"/>
              <w:sz w:val="18"/>
              <w:szCs w:val="18"/>
              <w:lang w:eastAsia="nl-NL"/>
            </w:rPr>
            <w:t>/</w:t>
          </w:r>
          <w:r w:rsidRPr="00610DA0">
            <w:rPr>
              <w:rFonts w:ascii="Arial" w:eastAsia="Times New Roman" w:hAnsi="Arial" w:cs="Arial"/>
              <w:sz w:val="18"/>
              <w:szCs w:val="18"/>
              <w:lang w:eastAsia="nl-NL"/>
            </w:rPr>
            <w:fldChar w:fldCharType="begin"/>
          </w:r>
          <w:r w:rsidRPr="00610DA0">
            <w:rPr>
              <w:rFonts w:ascii="Arial" w:eastAsia="Times New Roman" w:hAnsi="Arial" w:cs="Arial"/>
              <w:sz w:val="18"/>
              <w:szCs w:val="18"/>
              <w:lang w:eastAsia="nl-NL"/>
            </w:rPr>
            <w:instrText xml:space="preserve"> NUMPAGES  \* MERGEFORMAT </w:instrText>
          </w:r>
          <w:r w:rsidRPr="00610DA0">
            <w:rPr>
              <w:rFonts w:ascii="Arial" w:eastAsia="Times New Roman" w:hAnsi="Arial" w:cs="Arial"/>
              <w:sz w:val="18"/>
              <w:szCs w:val="18"/>
              <w:lang w:eastAsia="nl-NL"/>
            </w:rPr>
            <w:fldChar w:fldCharType="separate"/>
          </w:r>
          <w:r w:rsidR="00ED1B1D">
            <w:rPr>
              <w:rFonts w:ascii="Arial" w:eastAsia="Times New Roman" w:hAnsi="Arial" w:cs="Arial"/>
              <w:noProof/>
              <w:sz w:val="18"/>
              <w:szCs w:val="18"/>
              <w:lang w:eastAsia="nl-NL"/>
            </w:rPr>
            <w:t>1</w:t>
          </w:r>
          <w:r w:rsidRPr="00610DA0">
            <w:rPr>
              <w:rFonts w:ascii="Arial" w:eastAsia="Times New Roman" w:hAnsi="Arial" w:cs="Arial"/>
              <w:sz w:val="18"/>
              <w:szCs w:val="18"/>
              <w:lang w:eastAsia="nl-NL"/>
            </w:rPr>
            <w:fldChar w:fldCharType="end"/>
          </w:r>
        </w:p>
      </w:tc>
    </w:tr>
  </w:tbl>
  <w:p w14:paraId="7F3C20D0" w14:textId="77777777" w:rsidR="0087384A" w:rsidRDefault="0060440A" w:rsidP="00D56613">
    <w:pPr>
      <w:pStyle w:val="Voettekst"/>
      <w:spacing w:line="276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0A9B5" w14:textId="77777777" w:rsidR="0060440A" w:rsidRDefault="0060440A">
      <w:pPr>
        <w:spacing w:after="0" w:line="240" w:lineRule="auto"/>
      </w:pPr>
      <w:r>
        <w:separator/>
      </w:r>
    </w:p>
  </w:footnote>
  <w:footnote w:type="continuationSeparator" w:id="0">
    <w:p w14:paraId="38E8AE56" w14:textId="77777777" w:rsidR="0060440A" w:rsidRDefault="0060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106FC" w14:textId="77777777" w:rsidR="0087384A" w:rsidRDefault="001A41E6">
    <w:pPr>
      <w:pStyle w:val="Koptekst"/>
    </w:pPr>
    <w:r>
      <w:rPr>
        <w:noProof/>
        <w:lang w:eastAsia="nl-NL"/>
      </w:rPr>
      <w:drawing>
        <wp:inline distT="0" distB="0" distL="0" distR="0" wp14:anchorId="4CB0A9DD" wp14:editId="3071690A">
          <wp:extent cx="5742940" cy="7315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09D12" w14:textId="77777777" w:rsidR="0087384A" w:rsidRDefault="001A41E6">
    <w:pPr>
      <w:pStyle w:val="Koptekst"/>
    </w:pPr>
    <w:r>
      <w:rPr>
        <w:noProof/>
        <w:lang w:eastAsia="nl-NL"/>
      </w:rPr>
      <w:drawing>
        <wp:inline distT="0" distB="0" distL="0" distR="0" wp14:anchorId="09D771BD" wp14:editId="29330F9E">
          <wp:extent cx="5742940" cy="73152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65DA8"/>
    <w:multiLevelType w:val="hybridMultilevel"/>
    <w:tmpl w:val="3CD08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37"/>
    <w:rsid w:val="001A41E6"/>
    <w:rsid w:val="00376037"/>
    <w:rsid w:val="005F7604"/>
    <w:rsid w:val="0060440A"/>
    <w:rsid w:val="006829A4"/>
    <w:rsid w:val="007A1D50"/>
    <w:rsid w:val="00816C29"/>
    <w:rsid w:val="00817871"/>
    <w:rsid w:val="00E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17CF"/>
  <w15:chartTrackingRefBased/>
  <w15:docId w15:val="{2476C257-D2A8-44F2-A3AE-D073F28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7603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6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76037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376037"/>
    <w:rPr>
      <w:b/>
      <w:bCs/>
    </w:rPr>
  </w:style>
  <w:style w:type="paragraph" w:styleId="Titel">
    <w:name w:val="Title"/>
    <w:basedOn w:val="Standaard"/>
    <w:next w:val="Standaard"/>
    <w:link w:val="TitelTeken"/>
    <w:uiPriority w:val="10"/>
    <w:qFormat/>
    <w:rsid w:val="0037603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3760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Teken"/>
    <w:uiPriority w:val="99"/>
    <w:unhideWhenUsed/>
    <w:rsid w:val="001A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A41E6"/>
  </w:style>
  <w:style w:type="paragraph" w:styleId="Voettekst">
    <w:name w:val="footer"/>
    <w:basedOn w:val="Standaard"/>
    <w:link w:val="VoettekstTeken"/>
    <w:uiPriority w:val="99"/>
    <w:unhideWhenUsed/>
    <w:rsid w:val="001A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A41E6"/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7A1D5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7A1D50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1D50"/>
    <w:rPr>
      <w:sz w:val="16"/>
      <w:szCs w:val="16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7A1D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1D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Gerrike van Ommen</dc:creator>
  <cp:keywords/>
  <dc:description/>
  <cp:lastModifiedBy>Ardine van den Ende</cp:lastModifiedBy>
  <cp:revision>5</cp:revision>
  <dcterms:created xsi:type="dcterms:W3CDTF">2016-06-07T14:59:00Z</dcterms:created>
  <dcterms:modified xsi:type="dcterms:W3CDTF">2016-09-30T06:13:00Z</dcterms:modified>
</cp:coreProperties>
</file>