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B77C69" w:rsidRDefault="00376E6A" w:rsidP="00D4680C">
      <w:pPr>
        <w:spacing w:before="120"/>
        <w:jc w:val="right"/>
        <w:rPr>
          <w:b/>
          <w:sz w:val="22"/>
          <w:szCs w:val="22"/>
          <w:lang w:val="bg-BG" w:eastAsia="ru-RU"/>
        </w:rPr>
      </w:pPr>
      <w:bookmarkStart w:id="0" w:name="_Toc447632538"/>
      <w:r w:rsidRPr="00B77C69">
        <w:rPr>
          <w:b/>
          <w:sz w:val="22"/>
          <w:szCs w:val="22"/>
          <w:lang w:val="bg-BG" w:eastAsia="ru-RU"/>
        </w:rPr>
        <w:t xml:space="preserve">Приложение № </w:t>
      </w:r>
      <w:bookmarkEnd w:id="0"/>
      <w:r w:rsidR="00E1047D" w:rsidRPr="00B77C69">
        <w:rPr>
          <w:b/>
          <w:sz w:val="22"/>
          <w:szCs w:val="22"/>
          <w:lang w:val="bg-BG" w:eastAsia="ru-RU"/>
        </w:rPr>
        <w:t>1</w:t>
      </w:r>
    </w:p>
    <w:p w:rsidR="009067B8" w:rsidRPr="00B77C69" w:rsidRDefault="00A23CA7" w:rsidP="008B5CC8">
      <w:pPr>
        <w:spacing w:before="120"/>
        <w:jc w:val="right"/>
        <w:rPr>
          <w:bCs/>
          <w:sz w:val="22"/>
          <w:szCs w:val="22"/>
          <w:lang w:val="bg-BG" w:eastAsia="ru-RU"/>
        </w:rPr>
      </w:pPr>
      <w:r w:rsidRPr="00B77C69">
        <w:rPr>
          <w:bCs/>
          <w:sz w:val="22"/>
          <w:szCs w:val="22"/>
          <w:lang w:val="bg-BG" w:eastAsia="ru-RU"/>
        </w:rPr>
        <w:t>Към Инструкция за претендента</w:t>
      </w:r>
    </w:p>
    <w:tbl>
      <w:tblPr>
        <w:tblW w:w="10490" w:type="dxa"/>
        <w:tblInd w:w="-11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6946"/>
      </w:tblGrid>
      <w:tr w:rsidR="002F6B13" w:rsidRPr="00B77C69" w:rsidTr="00B77C69">
        <w:trPr>
          <w:cantSplit/>
        </w:trPr>
        <w:tc>
          <w:tcPr>
            <w:tcW w:w="10490" w:type="dxa"/>
            <w:gridSpan w:val="2"/>
            <w:tcBorders>
              <w:top w:val="nil"/>
              <w:left w:val="nil"/>
              <w:bottom w:val="single" w:sz="4" w:space="0" w:color="auto"/>
              <w:right w:val="nil"/>
            </w:tcBorders>
            <w:vAlign w:val="center"/>
          </w:tcPr>
          <w:p w:rsidR="003F1ACA" w:rsidRPr="00B77C69" w:rsidRDefault="00584CB7" w:rsidP="003F1ACA">
            <w:pPr>
              <w:pStyle w:val="a3"/>
              <w:spacing w:before="60" w:after="60"/>
              <w:rPr>
                <w:sz w:val="22"/>
                <w:szCs w:val="22"/>
                <w:lang w:val="bg-BG"/>
              </w:rPr>
            </w:pPr>
            <w:r w:rsidRPr="00B77C69">
              <w:rPr>
                <w:sz w:val="22"/>
                <w:szCs w:val="22"/>
                <w:lang w:val="bg-BG"/>
              </w:rPr>
              <w:t>Информация за тендера</w:t>
            </w:r>
            <w:r w:rsidR="00E70BD2" w:rsidRPr="00B77C69">
              <w:rPr>
                <w:sz w:val="22"/>
                <w:szCs w:val="22"/>
                <w:lang w:val="bg-BG"/>
              </w:rPr>
              <w:t xml:space="preserve"> </w:t>
            </w:r>
          </w:p>
        </w:tc>
      </w:tr>
      <w:tr w:rsidR="002F6B13" w:rsidRPr="00B77C69" w:rsidTr="00B77C69">
        <w:trPr>
          <w:cantSplit/>
        </w:trPr>
        <w:tc>
          <w:tcPr>
            <w:tcW w:w="10490" w:type="dxa"/>
            <w:gridSpan w:val="2"/>
            <w:tcBorders>
              <w:top w:val="single" w:sz="4" w:space="0" w:color="auto"/>
              <w:left w:val="single" w:sz="4" w:space="0" w:color="auto"/>
              <w:bottom w:val="single" w:sz="4" w:space="0" w:color="auto"/>
              <w:right w:val="single" w:sz="4" w:space="0" w:color="auto"/>
            </w:tcBorders>
            <w:vAlign w:val="center"/>
          </w:tcPr>
          <w:p w:rsidR="00CF5625" w:rsidRPr="00B77C69" w:rsidRDefault="00CF5625" w:rsidP="00D4680C">
            <w:pPr>
              <w:spacing w:before="60" w:after="60"/>
              <w:jc w:val="center"/>
              <w:rPr>
                <w:b/>
                <w:sz w:val="22"/>
                <w:szCs w:val="22"/>
                <w:lang w:val="bg-BG"/>
              </w:rPr>
            </w:pPr>
            <w:r w:rsidRPr="00B77C69">
              <w:rPr>
                <w:b/>
                <w:sz w:val="22"/>
                <w:szCs w:val="22"/>
                <w:lang w:val="bg-BG"/>
              </w:rPr>
              <w:t>I.  Общ</w:t>
            </w:r>
            <w:r w:rsidR="00584CB7" w:rsidRPr="00B77C69">
              <w:rPr>
                <w:b/>
                <w:sz w:val="22"/>
                <w:szCs w:val="22"/>
                <w:lang w:val="bg-BG"/>
              </w:rPr>
              <w:t>а информация</w:t>
            </w: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rPr>
                <w:rFonts w:ascii="Times New Roman" w:hAnsi="Times New Roman"/>
                <w:sz w:val="22"/>
                <w:szCs w:val="22"/>
                <w:lang w:val="bg-BG"/>
              </w:rPr>
            </w:pPr>
            <w:r w:rsidRPr="00B77C69">
              <w:rPr>
                <w:rFonts w:ascii="Times New Roman" w:hAnsi="Times New Roman"/>
                <w:sz w:val="22"/>
                <w:szCs w:val="22"/>
                <w:lang w:val="bg-BG"/>
              </w:rPr>
              <w:t>Организатор на тендера</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D1179" w:rsidP="006D1179">
            <w:pPr>
              <w:tabs>
                <w:tab w:val="right" w:pos="7272"/>
              </w:tabs>
              <w:spacing w:before="60" w:after="60"/>
              <w:rPr>
                <w:strike/>
                <w:sz w:val="22"/>
                <w:szCs w:val="22"/>
                <w:lang w:val="bg-BG"/>
              </w:rPr>
            </w:pPr>
            <w:r w:rsidRPr="00B77C69">
              <w:rPr>
                <w:sz w:val="22"/>
                <w:szCs w:val="22"/>
                <w:lang w:val="bg-BG"/>
              </w:rPr>
              <w:t>„ЛУКОЙЛ Нефтохим Бургас“ АД</w:t>
            </w: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Обект</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D1179" w:rsidP="00A71953">
            <w:pPr>
              <w:tabs>
                <w:tab w:val="right" w:pos="7272"/>
              </w:tabs>
              <w:spacing w:before="60" w:after="60"/>
              <w:rPr>
                <w:i/>
                <w:iCs/>
                <w:sz w:val="22"/>
                <w:szCs w:val="22"/>
                <w:lang w:val="bg-BG"/>
              </w:rPr>
            </w:pPr>
          </w:p>
        </w:tc>
      </w:tr>
      <w:tr w:rsidR="006D1179"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Номер на тендера</w:t>
            </w:r>
          </w:p>
        </w:tc>
        <w:tc>
          <w:tcPr>
            <w:tcW w:w="6946" w:type="dxa"/>
            <w:tcBorders>
              <w:top w:val="single" w:sz="4" w:space="0" w:color="auto"/>
              <w:left w:val="single" w:sz="4" w:space="0" w:color="auto"/>
              <w:bottom w:val="single" w:sz="4" w:space="0" w:color="auto"/>
              <w:right w:val="single" w:sz="4" w:space="0" w:color="auto"/>
            </w:tcBorders>
          </w:tcPr>
          <w:p w:rsidR="006D1179" w:rsidRPr="00B77C69" w:rsidRDefault="006E15F2" w:rsidP="00233E83">
            <w:pPr>
              <w:tabs>
                <w:tab w:val="right" w:pos="7272"/>
              </w:tabs>
              <w:spacing w:before="60" w:after="60"/>
              <w:rPr>
                <w:bCs/>
                <w:sz w:val="22"/>
                <w:szCs w:val="22"/>
                <w:highlight w:val="yellow"/>
                <w:lang w:val="bg-BG"/>
              </w:rPr>
            </w:pPr>
            <w:r w:rsidRPr="006E15F2">
              <w:rPr>
                <w:bCs/>
                <w:sz w:val="22"/>
                <w:szCs w:val="22"/>
                <w:lang w:val="bg-BG"/>
              </w:rPr>
              <w:t>1</w:t>
            </w:r>
            <w:r w:rsidR="00A10DF3">
              <w:rPr>
                <w:bCs/>
                <w:sz w:val="22"/>
                <w:szCs w:val="22"/>
              </w:rPr>
              <w:t>9</w:t>
            </w:r>
            <w:r w:rsidR="00233E83">
              <w:rPr>
                <w:bCs/>
                <w:sz w:val="22"/>
                <w:szCs w:val="22"/>
                <w:lang w:val="bg-BG"/>
              </w:rPr>
              <w:t>7671</w:t>
            </w:r>
          </w:p>
        </w:tc>
      </w:tr>
      <w:tr w:rsidR="006D1179" w:rsidRPr="00787979" w:rsidTr="00B77C69">
        <w:trPr>
          <w:cantSplit/>
        </w:trPr>
        <w:tc>
          <w:tcPr>
            <w:tcW w:w="3544" w:type="dxa"/>
            <w:tcBorders>
              <w:top w:val="single" w:sz="4" w:space="0" w:color="auto"/>
              <w:left w:val="single" w:sz="4" w:space="0" w:color="auto"/>
              <w:bottom w:val="single" w:sz="4" w:space="0" w:color="auto"/>
              <w:right w:val="single" w:sz="4" w:space="0" w:color="auto"/>
            </w:tcBorders>
          </w:tcPr>
          <w:p w:rsidR="006D1179" w:rsidRPr="00B77C69" w:rsidRDefault="006D1179"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Предмет на тендера</w:t>
            </w:r>
          </w:p>
        </w:tc>
        <w:tc>
          <w:tcPr>
            <w:tcW w:w="6946" w:type="dxa"/>
            <w:tcBorders>
              <w:top w:val="single" w:sz="4" w:space="0" w:color="auto"/>
              <w:left w:val="single" w:sz="4" w:space="0" w:color="auto"/>
              <w:bottom w:val="single" w:sz="4" w:space="0" w:color="auto"/>
              <w:right w:val="single" w:sz="4" w:space="0" w:color="auto"/>
            </w:tcBorders>
          </w:tcPr>
          <w:p w:rsidR="0026162F" w:rsidRPr="0088524F" w:rsidRDefault="00233E83" w:rsidP="0088524F">
            <w:pPr>
              <w:tabs>
                <w:tab w:val="right" w:pos="7254"/>
              </w:tabs>
              <w:spacing w:before="60" w:after="60"/>
              <w:rPr>
                <w:bCs/>
                <w:i/>
                <w:iCs/>
                <w:sz w:val="22"/>
                <w:szCs w:val="22"/>
                <w:lang w:val="bg-BG"/>
              </w:rPr>
            </w:pPr>
            <w:r w:rsidRPr="00233E83">
              <w:rPr>
                <w:sz w:val="22"/>
                <w:szCs w:val="22"/>
                <w:lang w:val="bg-BG" w:eastAsia="ru-RU"/>
              </w:rPr>
              <w:t>Ремонт на сгради, за период от две години</w:t>
            </w:r>
          </w:p>
        </w:tc>
      </w:tr>
      <w:tr w:rsidR="00E9098E"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E9098E" w:rsidRPr="00B77C69" w:rsidRDefault="00E9098E" w:rsidP="007E0C0A">
            <w:pPr>
              <w:pStyle w:val="a9"/>
              <w:numPr>
                <w:ilvl w:val="1"/>
                <w:numId w:val="4"/>
              </w:numPr>
              <w:tabs>
                <w:tab w:val="left" w:pos="460"/>
              </w:tabs>
              <w:spacing w:before="60" w:after="60"/>
              <w:ind w:left="0" w:firstLine="0"/>
              <w:contextualSpacing w:val="0"/>
              <w:rPr>
                <w:rFonts w:ascii="Times New Roman" w:hAnsi="Times New Roman"/>
                <w:sz w:val="22"/>
                <w:szCs w:val="22"/>
                <w:lang w:val="bg-BG"/>
              </w:rPr>
            </w:pPr>
            <w:r w:rsidRPr="00B77C69">
              <w:rPr>
                <w:rFonts w:ascii="Times New Roman" w:hAnsi="Times New Roman"/>
                <w:sz w:val="22"/>
                <w:szCs w:val="22"/>
                <w:lang w:val="bg-BG"/>
              </w:rPr>
              <w:t xml:space="preserve">Вид на </w:t>
            </w:r>
            <w:proofErr w:type="spellStart"/>
            <w:r w:rsidRPr="00B77C69">
              <w:rPr>
                <w:rFonts w:ascii="Times New Roman" w:hAnsi="Times New Roman"/>
                <w:sz w:val="22"/>
                <w:szCs w:val="22"/>
                <w:lang w:val="bg-BG"/>
              </w:rPr>
              <w:t>тендера</w:t>
            </w:r>
            <w:proofErr w:type="spellEnd"/>
          </w:p>
        </w:tc>
        <w:tc>
          <w:tcPr>
            <w:tcW w:w="6946" w:type="dxa"/>
            <w:tcBorders>
              <w:top w:val="single" w:sz="4" w:space="0" w:color="auto"/>
              <w:left w:val="single" w:sz="4" w:space="0" w:color="auto"/>
              <w:bottom w:val="single" w:sz="4" w:space="0" w:color="auto"/>
              <w:right w:val="single" w:sz="4" w:space="0" w:color="auto"/>
            </w:tcBorders>
          </w:tcPr>
          <w:p w:rsidR="00E9098E" w:rsidRPr="00B77C69" w:rsidRDefault="00E9098E" w:rsidP="004A125A">
            <w:pPr>
              <w:tabs>
                <w:tab w:val="right" w:pos="7254"/>
              </w:tabs>
              <w:spacing w:before="60" w:after="60"/>
              <w:rPr>
                <w:i/>
                <w:iCs/>
                <w:sz w:val="22"/>
                <w:szCs w:val="22"/>
                <w:lang w:val="bg-BG"/>
              </w:rPr>
            </w:pPr>
            <w:r w:rsidRPr="00B77C69">
              <w:rPr>
                <w:sz w:val="22"/>
                <w:szCs w:val="22"/>
                <w:lang w:val="bg-BG"/>
              </w:rPr>
              <w:t>Открит, двуетапен</w:t>
            </w:r>
          </w:p>
        </w:tc>
      </w:tr>
      <w:tr w:rsidR="002E15DD" w:rsidRPr="00787979" w:rsidTr="00B77C69">
        <w:trPr>
          <w:cantSplit/>
        </w:trPr>
        <w:tc>
          <w:tcPr>
            <w:tcW w:w="10490" w:type="dxa"/>
            <w:gridSpan w:val="2"/>
            <w:tcBorders>
              <w:top w:val="single" w:sz="4" w:space="0" w:color="auto"/>
              <w:left w:val="single" w:sz="4" w:space="0" w:color="auto"/>
              <w:bottom w:val="single" w:sz="4" w:space="0" w:color="auto"/>
              <w:right w:val="single" w:sz="4" w:space="0" w:color="auto"/>
            </w:tcBorders>
          </w:tcPr>
          <w:p w:rsidR="002E15DD" w:rsidRPr="00B77C69" w:rsidRDefault="002E15DD" w:rsidP="000745C4">
            <w:pPr>
              <w:tabs>
                <w:tab w:val="right" w:pos="7254"/>
              </w:tabs>
              <w:spacing w:before="60" w:after="60"/>
              <w:jc w:val="center"/>
              <w:rPr>
                <w:b/>
                <w:sz w:val="22"/>
                <w:szCs w:val="22"/>
                <w:lang w:val="bg-BG"/>
              </w:rPr>
            </w:pPr>
            <w:r w:rsidRPr="00B77C69">
              <w:rPr>
                <w:sz w:val="22"/>
                <w:szCs w:val="22"/>
                <w:lang w:val="ru-RU"/>
              </w:rPr>
              <w:br w:type="page"/>
            </w:r>
            <w:r w:rsidR="0049146E" w:rsidRPr="00B77C69">
              <w:rPr>
                <w:b/>
                <w:sz w:val="22"/>
                <w:szCs w:val="22"/>
              </w:rPr>
              <w:t>II</w:t>
            </w:r>
            <w:r w:rsidR="0049146E" w:rsidRPr="00B77C69">
              <w:rPr>
                <w:b/>
                <w:sz w:val="22"/>
                <w:szCs w:val="22"/>
                <w:lang w:val="bg-BG"/>
              </w:rPr>
              <w:t>.</w:t>
            </w:r>
            <w:r w:rsidR="0049146E" w:rsidRPr="00B77C69">
              <w:rPr>
                <w:sz w:val="22"/>
                <w:szCs w:val="22"/>
                <w:lang w:val="bg-BG"/>
              </w:rPr>
              <w:t xml:space="preserve"> </w:t>
            </w:r>
            <w:r w:rsidRPr="00B77C69">
              <w:rPr>
                <w:b/>
                <w:sz w:val="22"/>
                <w:szCs w:val="22"/>
                <w:lang w:val="bg-BG"/>
              </w:rPr>
              <w:t>Минимални квалификационни изисквания към Претендента за допускане до участие.</w:t>
            </w:r>
          </w:p>
        </w:tc>
      </w:tr>
      <w:tr w:rsidR="0091160A" w:rsidRPr="00787979" w:rsidTr="00B77C69">
        <w:trPr>
          <w:cantSplit/>
          <w:trHeight w:val="1130"/>
        </w:trPr>
        <w:tc>
          <w:tcPr>
            <w:tcW w:w="3544" w:type="dxa"/>
            <w:tcBorders>
              <w:top w:val="single" w:sz="4" w:space="0" w:color="auto"/>
              <w:left w:val="single" w:sz="4" w:space="0" w:color="auto"/>
              <w:bottom w:val="single" w:sz="4" w:space="0" w:color="auto"/>
              <w:right w:val="single" w:sz="4" w:space="0" w:color="auto"/>
            </w:tcBorders>
          </w:tcPr>
          <w:p w:rsidR="0091160A" w:rsidRPr="00B77C69" w:rsidRDefault="0091160A" w:rsidP="00E24C5D">
            <w:pPr>
              <w:pStyle w:val="a9"/>
              <w:numPr>
                <w:ilvl w:val="1"/>
                <w:numId w:val="31"/>
              </w:numPr>
              <w:tabs>
                <w:tab w:val="left" w:pos="460"/>
              </w:tabs>
              <w:rPr>
                <w:rFonts w:ascii="Times New Roman" w:hAnsi="Times New Roman"/>
                <w:sz w:val="22"/>
                <w:szCs w:val="22"/>
                <w:lang w:val="bg-BG"/>
              </w:rPr>
            </w:pPr>
            <w:r w:rsidRPr="00B77C69">
              <w:rPr>
                <w:rFonts w:ascii="Times New Roman" w:hAnsi="Times New Roman"/>
                <w:color w:val="000000"/>
                <w:sz w:val="22"/>
                <w:szCs w:val="22"/>
                <w:lang w:val="bg-BG" w:eastAsia="bg-BG"/>
              </w:rPr>
              <w:t>Предишен опит</w:t>
            </w:r>
          </w:p>
        </w:tc>
        <w:tc>
          <w:tcPr>
            <w:tcW w:w="6946" w:type="dxa"/>
            <w:tcBorders>
              <w:top w:val="single" w:sz="4" w:space="0" w:color="auto"/>
              <w:left w:val="single" w:sz="4" w:space="0" w:color="auto"/>
              <w:bottom w:val="single" w:sz="4" w:space="0" w:color="auto"/>
              <w:right w:val="single" w:sz="4" w:space="0" w:color="auto"/>
            </w:tcBorders>
            <w:vAlign w:val="center"/>
          </w:tcPr>
          <w:p w:rsidR="0091160A" w:rsidRPr="00787979" w:rsidRDefault="00787979" w:rsidP="000739CB">
            <w:pPr>
              <w:rPr>
                <w:color w:val="FF0000"/>
                <w:sz w:val="22"/>
                <w:szCs w:val="22"/>
                <w:lang w:val="ru-RU" w:eastAsia="bg-BG"/>
              </w:rPr>
            </w:pPr>
            <w:r w:rsidRPr="00787979">
              <w:rPr>
                <w:b/>
                <w:sz w:val="22"/>
                <w:szCs w:val="22"/>
                <w:lang w:val="bg-BG" w:eastAsia="bg-BG"/>
              </w:rPr>
              <w:t>Претендентът</w:t>
            </w:r>
            <w:r w:rsidRPr="00787979">
              <w:rPr>
                <w:sz w:val="22"/>
                <w:szCs w:val="22"/>
                <w:lang w:val="bg-BG" w:eastAsia="bg-BG"/>
              </w:rPr>
              <w:t xml:space="preserve"> има опит по предмета на </w:t>
            </w:r>
            <w:proofErr w:type="spellStart"/>
            <w:r w:rsidRPr="00787979">
              <w:rPr>
                <w:sz w:val="22"/>
                <w:szCs w:val="22"/>
                <w:lang w:val="bg-BG" w:eastAsia="bg-BG"/>
              </w:rPr>
              <w:t>тендера</w:t>
            </w:r>
            <w:proofErr w:type="spellEnd"/>
            <w:r w:rsidRPr="00787979">
              <w:rPr>
                <w:sz w:val="22"/>
                <w:szCs w:val="22"/>
                <w:lang w:val="bg-BG" w:eastAsia="bg-BG"/>
              </w:rPr>
              <w:t xml:space="preserve"> - изпълнен най-малко 1 договор за дейности по изграждане или ремонт на сгради, приключени в последните 7 (седем) години (2015г., 2016г., 2017г., 2018г., 2019г., 2020г. и 2021г.) и/или такъв в действие към момента на провеждане на </w:t>
            </w:r>
            <w:proofErr w:type="spellStart"/>
            <w:r w:rsidRPr="00787979">
              <w:rPr>
                <w:sz w:val="22"/>
                <w:szCs w:val="22"/>
                <w:lang w:val="bg-BG" w:eastAsia="bg-BG"/>
              </w:rPr>
              <w:t>тендера</w:t>
            </w:r>
            <w:proofErr w:type="spellEnd"/>
            <w:r w:rsidRPr="00787979">
              <w:rPr>
                <w:sz w:val="22"/>
                <w:szCs w:val="22"/>
                <w:lang w:val="bg-BG" w:eastAsia="bg-BG"/>
              </w:rPr>
              <w:t>, като всеки един от договорите да е на стойност над 100 000 лв.</w:t>
            </w:r>
          </w:p>
        </w:tc>
      </w:tr>
      <w:tr w:rsidR="00201E47" w:rsidRPr="00787979" w:rsidTr="00B77C69">
        <w:trPr>
          <w:cantSplit/>
          <w:trHeight w:val="826"/>
        </w:trPr>
        <w:tc>
          <w:tcPr>
            <w:tcW w:w="3544" w:type="dxa"/>
            <w:tcBorders>
              <w:top w:val="single" w:sz="4" w:space="0" w:color="auto"/>
              <w:left w:val="single" w:sz="4" w:space="0" w:color="auto"/>
              <w:bottom w:val="single" w:sz="4" w:space="0" w:color="auto"/>
              <w:right w:val="single" w:sz="4" w:space="0" w:color="auto"/>
            </w:tcBorders>
          </w:tcPr>
          <w:p w:rsidR="00201E47" w:rsidRPr="0047454F" w:rsidRDefault="00E24C5D" w:rsidP="003A7AF0">
            <w:pPr>
              <w:tabs>
                <w:tab w:val="left" w:pos="460"/>
              </w:tabs>
              <w:rPr>
                <w:sz w:val="22"/>
                <w:szCs w:val="22"/>
                <w:highlight w:val="yellow"/>
                <w:lang w:val="bg-BG"/>
              </w:rPr>
            </w:pPr>
            <w:r w:rsidRPr="0047454F">
              <w:rPr>
                <w:sz w:val="22"/>
                <w:szCs w:val="22"/>
                <w:lang w:val="bg-BG"/>
              </w:rPr>
              <w:t>2.</w:t>
            </w:r>
            <w:r w:rsidR="003A7AF0">
              <w:rPr>
                <w:sz w:val="22"/>
                <w:szCs w:val="22"/>
                <w:lang w:val="bg-BG"/>
              </w:rPr>
              <w:t>2</w:t>
            </w:r>
            <w:r w:rsidRPr="0047454F">
              <w:rPr>
                <w:sz w:val="22"/>
                <w:szCs w:val="22"/>
                <w:lang w:val="bg-BG"/>
              </w:rPr>
              <w:t xml:space="preserve"> </w:t>
            </w:r>
            <w:r w:rsidR="000F413F">
              <w:rPr>
                <w:sz w:val="22"/>
                <w:szCs w:val="22"/>
                <w:lang w:val="bg-BG"/>
              </w:rPr>
              <w:t>Т</w:t>
            </w:r>
            <w:r w:rsidR="00201E47" w:rsidRPr="0047454F">
              <w:rPr>
                <w:sz w:val="22"/>
                <w:szCs w:val="22"/>
                <w:lang w:val="bg-BG"/>
              </w:rPr>
              <w:t xml:space="preserve">Б, ОТ и </w:t>
            </w:r>
            <w:r w:rsidR="000F413F">
              <w:rPr>
                <w:sz w:val="22"/>
                <w:szCs w:val="22"/>
                <w:lang w:val="bg-BG"/>
              </w:rPr>
              <w:t>Е</w:t>
            </w:r>
            <w:r w:rsidR="00201E47" w:rsidRPr="0047454F">
              <w:rPr>
                <w:sz w:val="22"/>
                <w:szCs w:val="22"/>
                <w:lang w:val="bg-BG"/>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233E83" w:rsidRDefault="00201E47" w:rsidP="000F413F">
            <w:pPr>
              <w:rPr>
                <w:color w:val="FF0000"/>
                <w:sz w:val="22"/>
                <w:szCs w:val="22"/>
                <w:lang w:val="bg-BG"/>
              </w:rPr>
            </w:pPr>
            <w:r w:rsidRPr="00787979">
              <w:rPr>
                <w:b/>
                <w:sz w:val="22"/>
                <w:szCs w:val="22"/>
                <w:lang w:val="bg-BG"/>
              </w:rPr>
              <w:t>Претендентът</w:t>
            </w:r>
            <w:r w:rsidRPr="00787979">
              <w:rPr>
                <w:sz w:val="22"/>
                <w:szCs w:val="22"/>
                <w:lang w:val="bg-BG"/>
              </w:rPr>
              <w:t xml:space="preserve"> </w:t>
            </w:r>
            <w:r w:rsidR="000F413F" w:rsidRPr="00787979">
              <w:rPr>
                <w:sz w:val="22"/>
                <w:szCs w:val="22"/>
                <w:lang w:val="bg-BG"/>
              </w:rPr>
              <w:t>е в съответствие с изискванията по промишлена безопасност, охрана на труда и околна среда, базирано на успешно покриване (50 % +1 положителни отговори)  на Квалификационна анкета по ТБ, ОТ и Е.</w:t>
            </w:r>
          </w:p>
        </w:tc>
      </w:tr>
      <w:tr w:rsidR="00201E47" w:rsidRPr="0078797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3A7AF0" w:rsidRDefault="00201E47" w:rsidP="003A7AF0">
            <w:pPr>
              <w:pStyle w:val="a9"/>
              <w:numPr>
                <w:ilvl w:val="1"/>
                <w:numId w:val="32"/>
              </w:numPr>
              <w:tabs>
                <w:tab w:val="left" w:pos="460"/>
              </w:tabs>
              <w:rPr>
                <w:sz w:val="22"/>
                <w:szCs w:val="22"/>
                <w:lang w:val="bg-BG"/>
              </w:rPr>
            </w:pPr>
            <w:r w:rsidRPr="003A7AF0">
              <w:rPr>
                <w:sz w:val="22"/>
                <w:szCs w:val="22"/>
                <w:lang w:val="bg-BG"/>
              </w:rPr>
              <w:t>Проект на договор</w:t>
            </w:r>
          </w:p>
        </w:tc>
        <w:tc>
          <w:tcPr>
            <w:tcW w:w="6946" w:type="dxa"/>
            <w:tcBorders>
              <w:top w:val="single" w:sz="4" w:space="0" w:color="auto"/>
              <w:left w:val="single" w:sz="4" w:space="0" w:color="auto"/>
              <w:bottom w:val="single" w:sz="4" w:space="0" w:color="auto"/>
              <w:right w:val="single" w:sz="4" w:space="0" w:color="auto"/>
            </w:tcBorders>
            <w:vAlign w:val="center"/>
          </w:tcPr>
          <w:p w:rsidR="00201E47" w:rsidRPr="00787979" w:rsidRDefault="00201E47" w:rsidP="000F413F">
            <w:pPr>
              <w:rPr>
                <w:color w:val="FF0000"/>
                <w:sz w:val="22"/>
                <w:szCs w:val="22"/>
                <w:lang w:val="bg-BG" w:eastAsia="ru-RU"/>
              </w:rPr>
            </w:pPr>
            <w:r w:rsidRPr="00787979">
              <w:rPr>
                <w:b/>
                <w:sz w:val="22"/>
                <w:szCs w:val="22"/>
                <w:lang w:val="bg-BG" w:eastAsia="ru-RU"/>
              </w:rPr>
              <w:t>Претендентът</w:t>
            </w:r>
            <w:r w:rsidRPr="00787979">
              <w:rPr>
                <w:sz w:val="22"/>
                <w:szCs w:val="22"/>
                <w:lang w:val="bg-BG" w:eastAsia="ru-RU"/>
              </w:rPr>
              <w:t xml:space="preserve"> </w:t>
            </w:r>
            <w:r w:rsidR="000F413F" w:rsidRPr="00787979">
              <w:rPr>
                <w:sz w:val="22"/>
                <w:szCs w:val="22"/>
                <w:lang w:val="bg-BG" w:eastAsia="ru-RU"/>
              </w:rPr>
              <w:t>приема безусловно предложения проект на договор.</w:t>
            </w:r>
          </w:p>
        </w:tc>
      </w:tr>
      <w:tr w:rsidR="003A7AF0" w:rsidRPr="00787979" w:rsidTr="00B77C69">
        <w:trPr>
          <w:cantSplit/>
          <w:trHeight w:val="426"/>
        </w:trPr>
        <w:tc>
          <w:tcPr>
            <w:tcW w:w="3544" w:type="dxa"/>
            <w:vMerge w:val="restart"/>
            <w:tcBorders>
              <w:top w:val="single" w:sz="4" w:space="0" w:color="auto"/>
              <w:left w:val="single" w:sz="4" w:space="0" w:color="auto"/>
              <w:right w:val="single" w:sz="4" w:space="0" w:color="auto"/>
            </w:tcBorders>
          </w:tcPr>
          <w:p w:rsidR="003A7AF0" w:rsidRPr="00B77C69" w:rsidRDefault="003A7AF0" w:rsidP="00787979">
            <w:pPr>
              <w:pStyle w:val="a9"/>
              <w:numPr>
                <w:ilvl w:val="1"/>
                <w:numId w:val="32"/>
              </w:numPr>
              <w:tabs>
                <w:tab w:val="left" w:pos="460"/>
              </w:tabs>
              <w:jc w:val="both"/>
              <w:rPr>
                <w:rFonts w:ascii="Times New Roman" w:hAnsi="Times New Roman"/>
                <w:sz w:val="22"/>
                <w:szCs w:val="22"/>
                <w:lang w:val="bg-BG"/>
              </w:rPr>
            </w:pPr>
            <w:r w:rsidRPr="00B77C69">
              <w:rPr>
                <w:rFonts w:ascii="Times New Roman" w:hAnsi="Times New Roman"/>
                <w:sz w:val="22"/>
                <w:szCs w:val="22"/>
                <w:lang w:val="bg-BG"/>
              </w:rPr>
              <w:t>Разрешителни документи на Претендента</w:t>
            </w:r>
          </w:p>
        </w:tc>
        <w:tc>
          <w:tcPr>
            <w:tcW w:w="6946" w:type="dxa"/>
            <w:tcBorders>
              <w:top w:val="single" w:sz="4" w:space="0" w:color="auto"/>
              <w:left w:val="single" w:sz="4" w:space="0" w:color="auto"/>
              <w:right w:val="single" w:sz="4" w:space="0" w:color="auto"/>
            </w:tcBorders>
            <w:vAlign w:val="center"/>
          </w:tcPr>
          <w:p w:rsidR="003A7AF0" w:rsidRPr="00233E83" w:rsidRDefault="003A7AF0" w:rsidP="00200509">
            <w:pPr>
              <w:rPr>
                <w:color w:val="FF0000"/>
                <w:sz w:val="22"/>
                <w:szCs w:val="22"/>
                <w:lang w:val="ru-RU" w:eastAsia="bg-BG"/>
              </w:rPr>
            </w:pPr>
            <w:r w:rsidRPr="00787979">
              <w:rPr>
                <w:sz w:val="22"/>
                <w:szCs w:val="22"/>
                <w:lang w:val="ru-RU" w:eastAsia="bg-BG"/>
              </w:rPr>
              <w:t xml:space="preserve">2.4.1. </w:t>
            </w:r>
            <w:proofErr w:type="spellStart"/>
            <w:r w:rsidRPr="00787979">
              <w:rPr>
                <w:b/>
                <w:sz w:val="22"/>
                <w:szCs w:val="22"/>
                <w:lang w:val="ru-RU" w:eastAsia="bg-BG"/>
              </w:rPr>
              <w:t>Претендентът</w:t>
            </w:r>
            <w:proofErr w:type="spellEnd"/>
            <w:r w:rsidRPr="00787979">
              <w:rPr>
                <w:sz w:val="22"/>
                <w:szCs w:val="22"/>
                <w:lang w:val="ru-RU" w:eastAsia="bg-BG"/>
              </w:rPr>
              <w:t xml:space="preserve"> </w:t>
            </w:r>
            <w:proofErr w:type="spellStart"/>
            <w:r w:rsidRPr="00787979">
              <w:rPr>
                <w:sz w:val="22"/>
                <w:szCs w:val="22"/>
                <w:lang w:val="ru-RU" w:eastAsia="bg-BG"/>
              </w:rPr>
              <w:t>притежава</w:t>
            </w:r>
            <w:proofErr w:type="spellEnd"/>
            <w:r w:rsidRPr="00787979">
              <w:rPr>
                <w:sz w:val="22"/>
                <w:szCs w:val="22"/>
                <w:lang w:val="ru-RU" w:eastAsia="bg-BG"/>
              </w:rPr>
              <w:t xml:space="preserve"> валиден </w:t>
            </w:r>
            <w:proofErr w:type="spellStart"/>
            <w:r w:rsidRPr="00787979">
              <w:rPr>
                <w:sz w:val="22"/>
                <w:szCs w:val="22"/>
                <w:lang w:val="ru-RU" w:eastAsia="bg-BG"/>
              </w:rPr>
              <w:t>сертификати</w:t>
            </w:r>
            <w:proofErr w:type="spellEnd"/>
            <w:r w:rsidRPr="00787979">
              <w:rPr>
                <w:sz w:val="22"/>
                <w:szCs w:val="22"/>
                <w:lang w:val="ru-RU" w:eastAsia="bg-BG"/>
              </w:rPr>
              <w:t xml:space="preserve"> за стандарт ISO 9001</w:t>
            </w:r>
            <w:r w:rsidR="008C158C" w:rsidRPr="00787979">
              <w:rPr>
                <w:sz w:val="22"/>
                <w:szCs w:val="22"/>
                <w:lang w:val="ru-RU" w:eastAsia="bg-BG"/>
              </w:rPr>
              <w:t xml:space="preserve"> за качество</w:t>
            </w:r>
            <w:r w:rsidRPr="00787979">
              <w:rPr>
                <w:sz w:val="22"/>
                <w:szCs w:val="22"/>
                <w:lang w:val="ru-RU" w:eastAsia="bg-BG"/>
              </w:rPr>
              <w:t xml:space="preserve">, за стандарт ISO 14001 за управление на </w:t>
            </w:r>
            <w:proofErr w:type="spellStart"/>
            <w:r w:rsidRPr="00787979">
              <w:rPr>
                <w:sz w:val="22"/>
                <w:szCs w:val="22"/>
                <w:lang w:val="ru-RU" w:eastAsia="bg-BG"/>
              </w:rPr>
              <w:t>околната</w:t>
            </w:r>
            <w:proofErr w:type="spellEnd"/>
            <w:r w:rsidRPr="00787979">
              <w:rPr>
                <w:sz w:val="22"/>
                <w:szCs w:val="22"/>
                <w:lang w:val="ru-RU" w:eastAsia="bg-BG"/>
              </w:rPr>
              <w:t xml:space="preserve"> среда и за стандарт 45 00</w:t>
            </w:r>
            <w:r w:rsidR="00200509" w:rsidRPr="00787979">
              <w:rPr>
                <w:sz w:val="22"/>
                <w:szCs w:val="22"/>
                <w:lang w:val="ru-RU" w:eastAsia="bg-BG"/>
              </w:rPr>
              <w:t>1</w:t>
            </w:r>
            <w:r w:rsidRPr="00787979">
              <w:rPr>
                <w:sz w:val="22"/>
                <w:szCs w:val="22"/>
                <w:lang w:val="ru-RU" w:eastAsia="bg-BG"/>
              </w:rPr>
              <w:t xml:space="preserve"> за </w:t>
            </w:r>
            <w:proofErr w:type="spellStart"/>
            <w:r w:rsidRPr="00787979">
              <w:rPr>
                <w:sz w:val="22"/>
                <w:szCs w:val="22"/>
                <w:lang w:val="ru-RU" w:eastAsia="bg-BG"/>
              </w:rPr>
              <w:t>здраве</w:t>
            </w:r>
            <w:proofErr w:type="spellEnd"/>
            <w:r w:rsidRPr="00787979">
              <w:rPr>
                <w:sz w:val="22"/>
                <w:szCs w:val="22"/>
                <w:lang w:val="ru-RU" w:eastAsia="bg-BG"/>
              </w:rPr>
              <w:t xml:space="preserve"> и </w:t>
            </w:r>
            <w:proofErr w:type="spellStart"/>
            <w:r w:rsidRPr="00787979">
              <w:rPr>
                <w:sz w:val="22"/>
                <w:szCs w:val="22"/>
                <w:lang w:val="ru-RU" w:eastAsia="bg-BG"/>
              </w:rPr>
              <w:t>безопасност</w:t>
            </w:r>
            <w:proofErr w:type="spellEnd"/>
            <w:r w:rsidRPr="00787979">
              <w:rPr>
                <w:sz w:val="22"/>
                <w:szCs w:val="22"/>
                <w:lang w:val="ru-RU" w:eastAsia="bg-BG"/>
              </w:rPr>
              <w:t xml:space="preserve"> при работа.</w:t>
            </w:r>
          </w:p>
        </w:tc>
      </w:tr>
      <w:tr w:rsidR="003A7AF0" w:rsidRPr="00787979" w:rsidTr="00B77C69">
        <w:trPr>
          <w:cantSplit/>
          <w:trHeight w:val="426"/>
        </w:trPr>
        <w:tc>
          <w:tcPr>
            <w:tcW w:w="3544" w:type="dxa"/>
            <w:vMerge/>
            <w:tcBorders>
              <w:left w:val="single" w:sz="4" w:space="0" w:color="auto"/>
              <w:right w:val="single" w:sz="4" w:space="0" w:color="auto"/>
            </w:tcBorders>
          </w:tcPr>
          <w:p w:rsidR="003A7AF0" w:rsidRPr="00B77C69" w:rsidRDefault="003A7AF0" w:rsidP="003A7AF0">
            <w:pPr>
              <w:pStyle w:val="a9"/>
              <w:numPr>
                <w:ilvl w:val="1"/>
                <w:numId w:val="32"/>
              </w:numPr>
              <w:tabs>
                <w:tab w:val="left" w:pos="460"/>
              </w:tabs>
              <w:ind w:left="0" w:firstLine="0"/>
              <w:jc w:val="both"/>
              <w:rPr>
                <w:rFonts w:ascii="Times New Roman" w:hAnsi="Times New Roman"/>
                <w:sz w:val="22"/>
                <w:szCs w:val="22"/>
                <w:lang w:val="bg-BG"/>
              </w:rPr>
            </w:pPr>
          </w:p>
        </w:tc>
        <w:tc>
          <w:tcPr>
            <w:tcW w:w="6946" w:type="dxa"/>
            <w:tcBorders>
              <w:top w:val="single" w:sz="4" w:space="0" w:color="auto"/>
              <w:left w:val="single" w:sz="4" w:space="0" w:color="auto"/>
              <w:right w:val="single" w:sz="4" w:space="0" w:color="auto"/>
            </w:tcBorders>
            <w:vAlign w:val="center"/>
          </w:tcPr>
          <w:p w:rsidR="003A7AF0" w:rsidRPr="00233E83" w:rsidRDefault="003A7AF0" w:rsidP="00787979">
            <w:pPr>
              <w:rPr>
                <w:b/>
                <w:color w:val="FF0000"/>
                <w:sz w:val="22"/>
                <w:szCs w:val="22"/>
                <w:lang w:val="ru-RU" w:eastAsia="bg-BG"/>
              </w:rPr>
            </w:pPr>
            <w:r w:rsidRPr="00787979">
              <w:rPr>
                <w:sz w:val="22"/>
                <w:szCs w:val="22"/>
                <w:lang w:val="ru-RU" w:eastAsia="bg-BG"/>
              </w:rPr>
              <w:t>2.4.</w:t>
            </w:r>
            <w:r w:rsidR="00151C12" w:rsidRPr="00787979">
              <w:rPr>
                <w:sz w:val="22"/>
                <w:szCs w:val="22"/>
                <w:lang w:val="ru-RU" w:eastAsia="bg-BG"/>
              </w:rPr>
              <w:t>2</w:t>
            </w:r>
            <w:r w:rsidRPr="00787979">
              <w:rPr>
                <w:sz w:val="22"/>
                <w:szCs w:val="22"/>
                <w:lang w:val="ru-RU" w:eastAsia="bg-BG"/>
              </w:rPr>
              <w:t>.</w:t>
            </w:r>
            <w:r w:rsidRPr="00787979">
              <w:rPr>
                <w:b/>
                <w:sz w:val="22"/>
                <w:szCs w:val="22"/>
                <w:lang w:val="ru-RU" w:eastAsia="bg-BG"/>
              </w:rPr>
              <w:t xml:space="preserve"> </w:t>
            </w:r>
            <w:proofErr w:type="spellStart"/>
            <w:r w:rsidR="00787979" w:rsidRPr="00787979">
              <w:rPr>
                <w:b/>
                <w:sz w:val="22"/>
                <w:szCs w:val="22"/>
                <w:lang w:val="ru-RU" w:eastAsia="bg-BG"/>
              </w:rPr>
              <w:t>Претендентът</w:t>
            </w:r>
            <w:proofErr w:type="spellEnd"/>
            <w:r w:rsidR="00787979" w:rsidRPr="00787979">
              <w:rPr>
                <w:sz w:val="22"/>
                <w:szCs w:val="22"/>
                <w:lang w:val="ru-RU" w:eastAsia="bg-BG"/>
              </w:rPr>
              <w:t xml:space="preserve"> да </w:t>
            </w:r>
            <w:proofErr w:type="spellStart"/>
            <w:r w:rsidR="00787979" w:rsidRPr="00787979">
              <w:rPr>
                <w:sz w:val="22"/>
                <w:szCs w:val="22"/>
                <w:lang w:val="ru-RU" w:eastAsia="bg-BG"/>
              </w:rPr>
              <w:t>бъде</w:t>
            </w:r>
            <w:proofErr w:type="spellEnd"/>
            <w:r w:rsidR="00787979" w:rsidRPr="00787979">
              <w:rPr>
                <w:sz w:val="22"/>
                <w:szCs w:val="22"/>
                <w:lang w:val="ru-RU" w:eastAsia="bg-BG"/>
              </w:rPr>
              <w:t xml:space="preserve"> вписан в </w:t>
            </w:r>
            <w:proofErr w:type="spellStart"/>
            <w:r w:rsidR="00787979" w:rsidRPr="00787979">
              <w:rPr>
                <w:sz w:val="22"/>
                <w:szCs w:val="22"/>
                <w:lang w:val="ru-RU" w:eastAsia="bg-BG"/>
              </w:rPr>
              <w:t>Централния</w:t>
            </w:r>
            <w:proofErr w:type="spellEnd"/>
            <w:r w:rsidR="00787979" w:rsidRPr="00787979">
              <w:rPr>
                <w:sz w:val="22"/>
                <w:szCs w:val="22"/>
                <w:lang w:val="ru-RU" w:eastAsia="bg-BG"/>
              </w:rPr>
              <w:t xml:space="preserve"> </w:t>
            </w:r>
            <w:proofErr w:type="spellStart"/>
            <w:r w:rsidR="00787979" w:rsidRPr="00787979">
              <w:rPr>
                <w:sz w:val="22"/>
                <w:szCs w:val="22"/>
                <w:lang w:val="ru-RU" w:eastAsia="bg-BG"/>
              </w:rPr>
              <w:t>професионален</w:t>
            </w:r>
            <w:proofErr w:type="spellEnd"/>
            <w:r w:rsidR="00787979" w:rsidRPr="00787979">
              <w:rPr>
                <w:sz w:val="22"/>
                <w:szCs w:val="22"/>
                <w:lang w:val="ru-RU" w:eastAsia="bg-BG"/>
              </w:rPr>
              <w:t xml:space="preserve"> </w:t>
            </w:r>
            <w:proofErr w:type="spellStart"/>
            <w:r w:rsidR="00787979" w:rsidRPr="00787979">
              <w:rPr>
                <w:sz w:val="22"/>
                <w:szCs w:val="22"/>
                <w:lang w:val="ru-RU" w:eastAsia="bg-BG"/>
              </w:rPr>
              <w:t>регистър</w:t>
            </w:r>
            <w:proofErr w:type="spellEnd"/>
            <w:r w:rsidR="00787979" w:rsidRPr="00787979">
              <w:rPr>
                <w:sz w:val="22"/>
                <w:szCs w:val="22"/>
                <w:lang w:val="ru-RU" w:eastAsia="bg-BG"/>
              </w:rPr>
              <w:t xml:space="preserve"> на строителя.</w:t>
            </w:r>
          </w:p>
        </w:tc>
      </w:tr>
      <w:tr w:rsidR="00151C12" w:rsidRPr="00787979" w:rsidTr="00151C12">
        <w:trPr>
          <w:cantSplit/>
          <w:trHeight w:val="1005"/>
        </w:trPr>
        <w:tc>
          <w:tcPr>
            <w:tcW w:w="3544" w:type="dxa"/>
            <w:tcBorders>
              <w:top w:val="single" w:sz="4" w:space="0" w:color="auto"/>
              <w:left w:val="single" w:sz="4" w:space="0" w:color="auto"/>
              <w:bottom w:val="single" w:sz="4" w:space="0" w:color="auto"/>
              <w:right w:val="single" w:sz="4" w:space="0" w:color="auto"/>
            </w:tcBorders>
          </w:tcPr>
          <w:p w:rsidR="00151C12" w:rsidRPr="00B77C69" w:rsidRDefault="00787979" w:rsidP="00787979">
            <w:pPr>
              <w:pStyle w:val="a9"/>
              <w:numPr>
                <w:ilvl w:val="1"/>
                <w:numId w:val="32"/>
              </w:numPr>
              <w:tabs>
                <w:tab w:val="left" w:pos="460"/>
              </w:tabs>
              <w:jc w:val="both"/>
              <w:rPr>
                <w:rFonts w:ascii="Times New Roman" w:hAnsi="Times New Roman"/>
                <w:sz w:val="22"/>
                <w:szCs w:val="22"/>
                <w:lang w:val="bg-BG"/>
              </w:rPr>
            </w:pPr>
            <w:r>
              <w:rPr>
                <w:rFonts w:ascii="Times New Roman" w:hAnsi="Times New Roman"/>
                <w:sz w:val="22"/>
                <w:szCs w:val="22"/>
                <w:lang w:val="bg-BG"/>
              </w:rPr>
              <w:t>К</w:t>
            </w:r>
            <w:r w:rsidRPr="00787979">
              <w:rPr>
                <w:rFonts w:ascii="Times New Roman" w:hAnsi="Times New Roman"/>
                <w:sz w:val="22"/>
                <w:szCs w:val="22"/>
                <w:lang w:val="bg-BG"/>
              </w:rPr>
              <w:t>омпетентност</w:t>
            </w:r>
            <w:r>
              <w:rPr>
                <w:rFonts w:ascii="Times New Roman" w:hAnsi="Times New Roman"/>
                <w:sz w:val="22"/>
                <w:szCs w:val="22"/>
                <w:lang w:val="bg-BG"/>
              </w:rPr>
              <w:t xml:space="preserve"> и квалификация на персонала на Претендента.</w:t>
            </w:r>
          </w:p>
        </w:tc>
        <w:tc>
          <w:tcPr>
            <w:tcW w:w="6946" w:type="dxa"/>
            <w:tcBorders>
              <w:top w:val="single" w:sz="4" w:space="0" w:color="auto"/>
              <w:left w:val="single" w:sz="4" w:space="0" w:color="auto"/>
              <w:bottom w:val="single" w:sz="4" w:space="0" w:color="auto"/>
              <w:right w:val="single" w:sz="4" w:space="0" w:color="auto"/>
            </w:tcBorders>
            <w:vAlign w:val="center"/>
          </w:tcPr>
          <w:p w:rsidR="00787979" w:rsidRPr="00787979" w:rsidRDefault="00787979" w:rsidP="00787979">
            <w:pPr>
              <w:rPr>
                <w:sz w:val="22"/>
                <w:szCs w:val="22"/>
                <w:lang w:val="ru-RU" w:eastAsia="bg-BG"/>
              </w:rPr>
            </w:pPr>
            <w:proofErr w:type="spellStart"/>
            <w:r w:rsidRPr="00787979">
              <w:rPr>
                <w:b/>
                <w:sz w:val="22"/>
                <w:szCs w:val="22"/>
                <w:lang w:val="ru-RU" w:eastAsia="bg-BG"/>
              </w:rPr>
              <w:t>Претенденът</w:t>
            </w:r>
            <w:proofErr w:type="spellEnd"/>
            <w:r w:rsidRPr="00787979">
              <w:rPr>
                <w:sz w:val="22"/>
                <w:szCs w:val="22"/>
                <w:lang w:val="ru-RU" w:eastAsia="bg-BG"/>
              </w:rPr>
              <w:t xml:space="preserve"> </w:t>
            </w:r>
            <w:proofErr w:type="spellStart"/>
            <w:r w:rsidRPr="00787979">
              <w:rPr>
                <w:sz w:val="22"/>
                <w:szCs w:val="22"/>
                <w:lang w:val="ru-RU" w:eastAsia="bg-BG"/>
              </w:rPr>
              <w:t>трябва</w:t>
            </w:r>
            <w:proofErr w:type="spellEnd"/>
            <w:r w:rsidRPr="00787979">
              <w:rPr>
                <w:sz w:val="22"/>
                <w:szCs w:val="22"/>
                <w:lang w:val="ru-RU" w:eastAsia="bg-BG"/>
              </w:rPr>
              <w:t xml:space="preserve"> да </w:t>
            </w:r>
            <w:proofErr w:type="spellStart"/>
            <w:r w:rsidRPr="00787979">
              <w:rPr>
                <w:sz w:val="22"/>
                <w:szCs w:val="22"/>
                <w:lang w:val="ru-RU" w:eastAsia="bg-BG"/>
              </w:rPr>
              <w:t>разполага</w:t>
            </w:r>
            <w:proofErr w:type="spellEnd"/>
            <w:r w:rsidRPr="00787979">
              <w:rPr>
                <w:sz w:val="22"/>
                <w:szCs w:val="22"/>
                <w:lang w:val="ru-RU" w:eastAsia="bg-BG"/>
              </w:rPr>
              <w:t xml:space="preserve"> с персонал и/или с </w:t>
            </w:r>
            <w:proofErr w:type="spellStart"/>
            <w:r w:rsidRPr="00787979">
              <w:rPr>
                <w:sz w:val="22"/>
                <w:szCs w:val="22"/>
                <w:lang w:val="ru-RU" w:eastAsia="bg-BG"/>
              </w:rPr>
              <w:t>ръководен</w:t>
            </w:r>
            <w:proofErr w:type="spellEnd"/>
            <w:r w:rsidRPr="00787979">
              <w:rPr>
                <w:sz w:val="22"/>
                <w:szCs w:val="22"/>
                <w:lang w:val="ru-RU" w:eastAsia="bg-BG"/>
              </w:rPr>
              <w:t xml:space="preserve"> </w:t>
            </w:r>
            <w:proofErr w:type="spellStart"/>
            <w:r w:rsidRPr="00787979">
              <w:rPr>
                <w:sz w:val="22"/>
                <w:szCs w:val="22"/>
                <w:lang w:val="ru-RU" w:eastAsia="bg-BG"/>
              </w:rPr>
              <w:t>състав</w:t>
            </w:r>
            <w:proofErr w:type="spellEnd"/>
            <w:r w:rsidRPr="00787979">
              <w:rPr>
                <w:sz w:val="22"/>
                <w:szCs w:val="22"/>
                <w:lang w:val="ru-RU" w:eastAsia="bg-BG"/>
              </w:rPr>
              <w:t xml:space="preserve"> с определена </w:t>
            </w:r>
            <w:proofErr w:type="spellStart"/>
            <w:r w:rsidRPr="00787979">
              <w:rPr>
                <w:sz w:val="22"/>
                <w:szCs w:val="22"/>
                <w:lang w:val="ru-RU" w:eastAsia="bg-BG"/>
              </w:rPr>
              <w:t>професионална</w:t>
            </w:r>
            <w:proofErr w:type="spellEnd"/>
            <w:r w:rsidRPr="00787979">
              <w:rPr>
                <w:sz w:val="22"/>
                <w:szCs w:val="22"/>
                <w:lang w:val="ru-RU" w:eastAsia="bg-BG"/>
              </w:rPr>
              <w:t xml:space="preserve"> компетентност за </w:t>
            </w:r>
            <w:proofErr w:type="spellStart"/>
            <w:r w:rsidRPr="00787979">
              <w:rPr>
                <w:sz w:val="22"/>
                <w:szCs w:val="22"/>
                <w:lang w:val="ru-RU" w:eastAsia="bg-BG"/>
              </w:rPr>
              <w:t>изпълнението</w:t>
            </w:r>
            <w:proofErr w:type="spellEnd"/>
            <w:r w:rsidRPr="00787979">
              <w:rPr>
                <w:sz w:val="22"/>
                <w:szCs w:val="22"/>
                <w:lang w:val="ru-RU" w:eastAsia="bg-BG"/>
              </w:rPr>
              <w:t xml:space="preserve"> на </w:t>
            </w:r>
            <w:proofErr w:type="spellStart"/>
            <w:r w:rsidRPr="00787979">
              <w:rPr>
                <w:sz w:val="22"/>
                <w:szCs w:val="22"/>
                <w:lang w:val="ru-RU" w:eastAsia="bg-BG"/>
              </w:rPr>
              <w:t>поръчката</w:t>
            </w:r>
            <w:proofErr w:type="spellEnd"/>
            <w:r w:rsidRPr="00787979">
              <w:rPr>
                <w:sz w:val="22"/>
                <w:szCs w:val="22"/>
                <w:lang w:val="ru-RU" w:eastAsia="bg-BG"/>
              </w:rPr>
              <w:t xml:space="preserve">, </w:t>
            </w:r>
            <w:proofErr w:type="spellStart"/>
            <w:r w:rsidRPr="00787979">
              <w:rPr>
                <w:sz w:val="22"/>
                <w:szCs w:val="22"/>
                <w:lang w:val="ru-RU" w:eastAsia="bg-BG"/>
              </w:rPr>
              <w:t>както</w:t>
            </w:r>
            <w:proofErr w:type="spellEnd"/>
            <w:r w:rsidRPr="00787979">
              <w:rPr>
                <w:sz w:val="22"/>
                <w:szCs w:val="22"/>
                <w:lang w:val="ru-RU" w:eastAsia="bg-BG"/>
              </w:rPr>
              <w:t xml:space="preserve"> </w:t>
            </w:r>
            <w:proofErr w:type="spellStart"/>
            <w:r w:rsidRPr="00787979">
              <w:rPr>
                <w:sz w:val="22"/>
                <w:szCs w:val="22"/>
                <w:lang w:val="ru-RU" w:eastAsia="bg-BG"/>
              </w:rPr>
              <w:t>следва</w:t>
            </w:r>
            <w:proofErr w:type="spellEnd"/>
            <w:r w:rsidRPr="00787979">
              <w:rPr>
                <w:sz w:val="22"/>
                <w:szCs w:val="22"/>
                <w:lang w:val="ru-RU" w:eastAsia="bg-BG"/>
              </w:rPr>
              <w:t>:</w:t>
            </w:r>
          </w:p>
          <w:p w:rsidR="00151C12" w:rsidRPr="00233E83" w:rsidRDefault="00787979" w:rsidP="00787979">
            <w:pPr>
              <w:rPr>
                <w:color w:val="FF0000"/>
                <w:sz w:val="22"/>
                <w:szCs w:val="22"/>
                <w:lang w:val="ru-RU" w:eastAsia="bg-BG"/>
              </w:rPr>
            </w:pPr>
            <w:r w:rsidRPr="00787979">
              <w:rPr>
                <w:sz w:val="22"/>
                <w:szCs w:val="22"/>
                <w:lang w:val="ru-RU" w:eastAsia="bg-BG"/>
              </w:rPr>
              <w:t xml:space="preserve">• Технически </w:t>
            </w:r>
            <w:proofErr w:type="spellStart"/>
            <w:r w:rsidRPr="00787979">
              <w:rPr>
                <w:sz w:val="22"/>
                <w:szCs w:val="22"/>
                <w:lang w:val="ru-RU" w:eastAsia="bg-BG"/>
              </w:rPr>
              <w:t>ръководител</w:t>
            </w:r>
            <w:proofErr w:type="spellEnd"/>
            <w:r w:rsidRPr="00787979">
              <w:rPr>
                <w:sz w:val="22"/>
                <w:szCs w:val="22"/>
                <w:lang w:val="ru-RU" w:eastAsia="bg-BG"/>
              </w:rPr>
              <w:t xml:space="preserve">: </w:t>
            </w:r>
            <w:proofErr w:type="spellStart"/>
            <w:r w:rsidRPr="00787979">
              <w:rPr>
                <w:sz w:val="22"/>
                <w:szCs w:val="22"/>
                <w:lang w:val="ru-RU" w:eastAsia="bg-BG"/>
              </w:rPr>
              <w:t>висше</w:t>
            </w:r>
            <w:proofErr w:type="spellEnd"/>
            <w:r w:rsidRPr="00787979">
              <w:rPr>
                <w:sz w:val="22"/>
                <w:szCs w:val="22"/>
                <w:lang w:val="ru-RU" w:eastAsia="bg-BG"/>
              </w:rPr>
              <w:t xml:space="preserve"> образование или </w:t>
            </w:r>
            <w:proofErr w:type="spellStart"/>
            <w:r w:rsidRPr="00787979">
              <w:rPr>
                <w:sz w:val="22"/>
                <w:szCs w:val="22"/>
                <w:lang w:val="ru-RU" w:eastAsia="bg-BG"/>
              </w:rPr>
              <w:t>еквивалентна</w:t>
            </w:r>
            <w:proofErr w:type="spellEnd"/>
            <w:r w:rsidRPr="00787979">
              <w:rPr>
                <w:sz w:val="22"/>
                <w:szCs w:val="22"/>
                <w:lang w:val="ru-RU" w:eastAsia="bg-BG"/>
              </w:rPr>
              <w:t xml:space="preserve">, </w:t>
            </w:r>
            <w:proofErr w:type="spellStart"/>
            <w:r w:rsidRPr="00787979">
              <w:rPr>
                <w:sz w:val="22"/>
                <w:szCs w:val="22"/>
                <w:lang w:val="ru-RU" w:eastAsia="bg-BG"/>
              </w:rPr>
              <w:t>специалност</w:t>
            </w:r>
            <w:proofErr w:type="spellEnd"/>
            <w:r w:rsidRPr="00787979">
              <w:rPr>
                <w:sz w:val="22"/>
                <w:szCs w:val="22"/>
                <w:lang w:val="ru-RU" w:eastAsia="bg-BG"/>
              </w:rPr>
              <w:t xml:space="preserve"> „</w:t>
            </w:r>
            <w:proofErr w:type="spellStart"/>
            <w:r w:rsidRPr="00787979">
              <w:rPr>
                <w:sz w:val="22"/>
                <w:szCs w:val="22"/>
                <w:lang w:val="ru-RU" w:eastAsia="bg-BG"/>
              </w:rPr>
              <w:t>Строителство</w:t>
            </w:r>
            <w:proofErr w:type="spellEnd"/>
            <w:r w:rsidRPr="00787979">
              <w:rPr>
                <w:sz w:val="22"/>
                <w:szCs w:val="22"/>
                <w:lang w:val="ru-RU" w:eastAsia="bg-BG"/>
              </w:rPr>
              <w:t xml:space="preserve"> на </w:t>
            </w:r>
            <w:proofErr w:type="spellStart"/>
            <w:r w:rsidRPr="00787979">
              <w:rPr>
                <w:sz w:val="22"/>
                <w:szCs w:val="22"/>
                <w:lang w:val="ru-RU" w:eastAsia="bg-BG"/>
              </w:rPr>
              <w:t>сгради</w:t>
            </w:r>
            <w:proofErr w:type="spellEnd"/>
            <w:r w:rsidRPr="00787979">
              <w:rPr>
                <w:sz w:val="22"/>
                <w:szCs w:val="22"/>
                <w:lang w:val="ru-RU" w:eastAsia="bg-BG"/>
              </w:rPr>
              <w:t xml:space="preserve"> и </w:t>
            </w:r>
            <w:proofErr w:type="spellStart"/>
            <w:r w:rsidRPr="00787979">
              <w:rPr>
                <w:sz w:val="22"/>
                <w:szCs w:val="22"/>
                <w:lang w:val="ru-RU" w:eastAsia="bg-BG"/>
              </w:rPr>
              <w:t>съоръжения</w:t>
            </w:r>
            <w:proofErr w:type="spellEnd"/>
            <w:r w:rsidRPr="00787979">
              <w:rPr>
                <w:sz w:val="22"/>
                <w:szCs w:val="22"/>
                <w:lang w:val="ru-RU" w:eastAsia="bg-BG"/>
              </w:rPr>
              <w:t>”, „</w:t>
            </w:r>
            <w:proofErr w:type="spellStart"/>
            <w:r w:rsidRPr="00787979">
              <w:rPr>
                <w:sz w:val="22"/>
                <w:szCs w:val="22"/>
                <w:lang w:val="ru-RU" w:eastAsia="bg-BG"/>
              </w:rPr>
              <w:t>Промишлено</w:t>
            </w:r>
            <w:proofErr w:type="spellEnd"/>
            <w:r w:rsidRPr="00787979">
              <w:rPr>
                <w:sz w:val="22"/>
                <w:szCs w:val="22"/>
                <w:lang w:val="ru-RU" w:eastAsia="bg-BG"/>
              </w:rPr>
              <w:t xml:space="preserve"> и </w:t>
            </w:r>
            <w:proofErr w:type="spellStart"/>
            <w:r w:rsidRPr="00787979">
              <w:rPr>
                <w:sz w:val="22"/>
                <w:szCs w:val="22"/>
                <w:lang w:val="ru-RU" w:eastAsia="bg-BG"/>
              </w:rPr>
              <w:t>гражданско</w:t>
            </w:r>
            <w:proofErr w:type="spellEnd"/>
            <w:r w:rsidRPr="00787979">
              <w:rPr>
                <w:sz w:val="22"/>
                <w:szCs w:val="22"/>
                <w:lang w:val="ru-RU" w:eastAsia="bg-BG"/>
              </w:rPr>
              <w:t xml:space="preserve"> </w:t>
            </w:r>
            <w:proofErr w:type="spellStart"/>
            <w:r w:rsidRPr="00787979">
              <w:rPr>
                <w:sz w:val="22"/>
                <w:szCs w:val="22"/>
                <w:lang w:val="ru-RU" w:eastAsia="bg-BG"/>
              </w:rPr>
              <w:t>строителство</w:t>
            </w:r>
            <w:proofErr w:type="spellEnd"/>
            <w:r w:rsidRPr="00787979">
              <w:rPr>
                <w:sz w:val="22"/>
                <w:szCs w:val="22"/>
                <w:lang w:val="ru-RU" w:eastAsia="bg-BG"/>
              </w:rPr>
              <w:t xml:space="preserve">” или </w:t>
            </w:r>
            <w:proofErr w:type="spellStart"/>
            <w:r w:rsidRPr="00787979">
              <w:rPr>
                <w:sz w:val="22"/>
                <w:szCs w:val="22"/>
                <w:lang w:val="ru-RU" w:eastAsia="bg-BG"/>
              </w:rPr>
              <w:t>еквивалентна</w:t>
            </w:r>
            <w:proofErr w:type="spellEnd"/>
            <w:r w:rsidRPr="00787979">
              <w:rPr>
                <w:sz w:val="22"/>
                <w:szCs w:val="22"/>
                <w:lang w:val="ru-RU" w:eastAsia="bg-BG"/>
              </w:rPr>
              <w:t>.</w:t>
            </w:r>
          </w:p>
        </w:tc>
      </w:tr>
    </w:tbl>
    <w:p w:rsidR="00E24C5D" w:rsidRPr="0047454F" w:rsidRDefault="00E24C5D">
      <w:pPr>
        <w:rPr>
          <w:sz w:val="22"/>
          <w:szCs w:val="22"/>
          <w:lang w:val="ru-RU"/>
        </w:rPr>
      </w:pPr>
    </w:p>
    <w:tbl>
      <w:tblPr>
        <w:tblW w:w="10490" w:type="dxa"/>
        <w:tblInd w:w="-11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544"/>
        <w:gridCol w:w="6946"/>
      </w:tblGrid>
      <w:tr w:rsidR="00201E47" w:rsidRPr="00787979" w:rsidTr="00B77C69">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tabs>
                <w:tab w:val="right" w:pos="7254"/>
              </w:tabs>
              <w:spacing w:before="60" w:after="60"/>
              <w:rPr>
                <w:b/>
                <w:sz w:val="22"/>
                <w:szCs w:val="22"/>
                <w:lang w:val="bg-BG"/>
              </w:rPr>
            </w:pPr>
            <w:r w:rsidRPr="00B77C69">
              <w:rPr>
                <w:sz w:val="22"/>
                <w:szCs w:val="22"/>
                <w:lang w:val="bg-BG"/>
              </w:rPr>
              <w:br w:type="page"/>
            </w:r>
            <w:r w:rsidRPr="00B77C69">
              <w:rPr>
                <w:b/>
                <w:sz w:val="22"/>
                <w:szCs w:val="22"/>
                <w:lang w:val="bg-BG"/>
              </w:rPr>
              <w:t>Критерии за удовлетворяване на минималните изисквания от раздел ІІ:</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Претендентът самостоятелно покрива всички изисквания</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autoSpaceDE w:val="0"/>
              <w:autoSpaceDN w:val="0"/>
              <w:adjustRightInd w:val="0"/>
              <w:spacing w:before="60"/>
              <w:ind w:right="249"/>
              <w:rPr>
                <w:sz w:val="22"/>
                <w:szCs w:val="22"/>
                <w:lang w:val="bg-BG"/>
              </w:rPr>
            </w:pPr>
            <w:r w:rsidRPr="00B77C69">
              <w:rPr>
                <w:sz w:val="22"/>
                <w:szCs w:val="22"/>
                <w:lang w:val="bg-BG"/>
              </w:rPr>
              <w:t>Да</w:t>
            </w:r>
          </w:p>
        </w:tc>
      </w:tr>
      <w:tr w:rsidR="00201E47" w:rsidRPr="00787979" w:rsidTr="00B77C69">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 xml:space="preserve">Претендентът, съвместно с подизпълнителя/ите, покриват всички изисквания </w:t>
            </w:r>
          </w:p>
        </w:tc>
        <w:tc>
          <w:tcPr>
            <w:tcW w:w="6946" w:type="dxa"/>
            <w:tcBorders>
              <w:top w:val="single" w:sz="3" w:space="0" w:color="auto"/>
              <w:left w:val="single" w:sz="3" w:space="0" w:color="auto"/>
              <w:bottom w:val="single" w:sz="3" w:space="0" w:color="auto"/>
              <w:right w:val="single" w:sz="3" w:space="0" w:color="auto"/>
            </w:tcBorders>
            <w:shd w:val="clear" w:color="auto" w:fill="FFFFFF" w:themeFill="background1"/>
          </w:tcPr>
          <w:p w:rsidR="003A7AF0" w:rsidRPr="00787979" w:rsidRDefault="00787979" w:rsidP="00201E47">
            <w:pPr>
              <w:tabs>
                <w:tab w:val="right" w:pos="7254"/>
              </w:tabs>
              <w:spacing w:before="60" w:after="60"/>
              <w:rPr>
                <w:iCs/>
                <w:sz w:val="22"/>
                <w:szCs w:val="22"/>
                <w:lang w:val="bg-BG"/>
              </w:rPr>
            </w:pPr>
            <w:r w:rsidRPr="00787979">
              <w:rPr>
                <w:iCs/>
                <w:sz w:val="22"/>
                <w:szCs w:val="22"/>
                <w:lang w:val="bg-BG"/>
              </w:rPr>
              <w:t>Не</w:t>
            </w:r>
            <w:r w:rsidR="003A7AF0" w:rsidRPr="00787979">
              <w:rPr>
                <w:iCs/>
                <w:sz w:val="22"/>
                <w:szCs w:val="22"/>
                <w:lang w:val="bg-BG"/>
              </w:rPr>
              <w:t xml:space="preserve"> </w:t>
            </w:r>
          </w:p>
          <w:p w:rsidR="00201E47" w:rsidRPr="00B77C69" w:rsidRDefault="00201E47" w:rsidP="00201E47">
            <w:pPr>
              <w:tabs>
                <w:tab w:val="right" w:pos="7254"/>
              </w:tabs>
              <w:spacing w:before="60" w:after="60"/>
              <w:rPr>
                <w:b/>
                <w:iCs/>
                <w:sz w:val="22"/>
                <w:szCs w:val="22"/>
                <w:lang w:val="bg-BG"/>
              </w:rPr>
            </w:pPr>
            <w:r w:rsidRPr="00B77C69">
              <w:rPr>
                <w:iCs/>
                <w:sz w:val="22"/>
                <w:szCs w:val="22"/>
                <w:lang w:val="bg-BG"/>
              </w:rPr>
              <w:t>Претендентът попълва информация за подизпълнител/и, съгласно Форма 1</w:t>
            </w:r>
            <w:r w:rsidRPr="00B77C69">
              <w:rPr>
                <w:b/>
                <w:iCs/>
                <w:sz w:val="22"/>
                <w:szCs w:val="22"/>
                <w:lang w:val="bg-BG"/>
              </w:rPr>
              <w:t>;</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rPr>
            </w:pPr>
            <w:r w:rsidRPr="00B77C69">
              <w:rPr>
                <w:rFonts w:ascii="Times New Roman" w:hAnsi="Times New Roman"/>
                <w:iCs/>
                <w:sz w:val="22"/>
                <w:szCs w:val="22"/>
                <w:lang w:val="bg-BG"/>
              </w:rPr>
              <w:t>Претендентът представя официални документи за взаимоотношенията с подизпълнител/и за конкретния тендер.</w:t>
            </w:r>
          </w:p>
        </w:tc>
      </w:tr>
      <w:tr w:rsidR="00201E47" w:rsidRPr="00787979" w:rsidTr="00B77C69">
        <w:trPr>
          <w:cantSplit/>
        </w:trPr>
        <w:tc>
          <w:tcPr>
            <w:tcW w:w="3544"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pStyle w:val="a9"/>
              <w:tabs>
                <w:tab w:val="left" w:pos="318"/>
              </w:tabs>
              <w:ind w:left="0"/>
              <w:jc w:val="both"/>
              <w:rPr>
                <w:rFonts w:ascii="Times New Roman" w:hAnsi="Times New Roman"/>
                <w:sz w:val="22"/>
                <w:szCs w:val="22"/>
                <w:lang w:val="bg-BG"/>
              </w:rPr>
            </w:pPr>
            <w:r w:rsidRPr="00B77C69">
              <w:rPr>
                <w:rFonts w:ascii="Times New Roman" w:hAnsi="Times New Roman"/>
                <w:sz w:val="22"/>
                <w:szCs w:val="22"/>
                <w:lang w:val="bg-BG"/>
              </w:rPr>
              <w:t>Претендентът - консорциум/ дружество по Закона за задълженията и договорите, покриват всички изисквания</w:t>
            </w:r>
          </w:p>
        </w:tc>
        <w:tc>
          <w:tcPr>
            <w:tcW w:w="6946" w:type="dxa"/>
            <w:tcBorders>
              <w:top w:val="single" w:sz="3" w:space="0" w:color="auto"/>
              <w:left w:val="single" w:sz="3" w:space="0" w:color="auto"/>
              <w:bottom w:val="single" w:sz="3" w:space="0" w:color="auto"/>
              <w:right w:val="single" w:sz="3" w:space="0" w:color="auto"/>
            </w:tcBorders>
            <w:shd w:val="clear" w:color="auto" w:fill="FFFFFF" w:themeFill="background1"/>
          </w:tcPr>
          <w:p w:rsidR="00201E47" w:rsidRPr="00B77C69" w:rsidRDefault="00201E47" w:rsidP="00201E47">
            <w:pPr>
              <w:tabs>
                <w:tab w:val="right" w:pos="7254"/>
              </w:tabs>
              <w:spacing w:before="60" w:after="60"/>
              <w:rPr>
                <w:iCs/>
                <w:sz w:val="22"/>
                <w:szCs w:val="22"/>
                <w:lang w:val="bg-BG"/>
              </w:rPr>
            </w:pPr>
            <w:r w:rsidRPr="00B77C69">
              <w:rPr>
                <w:iCs/>
                <w:sz w:val="22"/>
                <w:szCs w:val="22"/>
                <w:lang w:val="bg-BG"/>
              </w:rPr>
              <w:t>ДА</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rPr>
            </w:pPr>
            <w:r w:rsidRPr="00B77C69">
              <w:rPr>
                <w:rFonts w:ascii="Times New Roman" w:hAnsi="Times New Roman"/>
                <w:iCs/>
                <w:sz w:val="22"/>
                <w:szCs w:val="22"/>
                <w:lang w:val="bg-BG"/>
              </w:rPr>
              <w:t>Претендентът представя официални документи за  съдружие/споразумение и контрола на главния офис (ако има);</w:t>
            </w:r>
          </w:p>
          <w:p w:rsidR="00201E47" w:rsidRPr="00B77C69" w:rsidRDefault="00201E47" w:rsidP="00201E47">
            <w:pPr>
              <w:pStyle w:val="a9"/>
              <w:numPr>
                <w:ilvl w:val="0"/>
                <w:numId w:val="10"/>
              </w:numPr>
              <w:tabs>
                <w:tab w:val="right" w:pos="7254"/>
              </w:tabs>
              <w:spacing w:before="60" w:after="60"/>
              <w:ind w:left="175" w:hanging="175"/>
              <w:jc w:val="both"/>
              <w:rPr>
                <w:rFonts w:ascii="Times New Roman" w:hAnsi="Times New Roman"/>
                <w:iCs/>
                <w:sz w:val="22"/>
                <w:szCs w:val="22"/>
                <w:lang w:val="bg-BG" w:eastAsia="en-US"/>
              </w:rPr>
            </w:pPr>
            <w:r w:rsidRPr="00B77C69">
              <w:rPr>
                <w:rFonts w:ascii="Times New Roman" w:hAnsi="Times New Roman"/>
                <w:iCs/>
                <w:sz w:val="22"/>
                <w:szCs w:val="22"/>
                <w:lang w:val="bg-BG"/>
              </w:rPr>
              <w:t>Претендентът попълва съответната информация за съдружниците (за всеки поотделно) и главния офис (ако има) във Форма 1,</w:t>
            </w:r>
            <w:r w:rsidRPr="00B77C69">
              <w:rPr>
                <w:rFonts w:ascii="Times New Roman" w:hAnsi="Times New Roman"/>
                <w:b/>
                <w:iCs/>
                <w:sz w:val="22"/>
                <w:szCs w:val="22"/>
                <w:lang w:val="bg-BG"/>
              </w:rPr>
              <w:t xml:space="preserve"> </w:t>
            </w:r>
            <w:r w:rsidRPr="00B77C69">
              <w:rPr>
                <w:rFonts w:ascii="Times New Roman" w:hAnsi="Times New Roman"/>
                <w:iCs/>
                <w:sz w:val="22"/>
                <w:szCs w:val="22"/>
                <w:lang w:val="bg-BG"/>
              </w:rPr>
              <w:t>съгласно изискванията на АСПТ</w:t>
            </w:r>
            <w:r w:rsidRPr="00B77C69">
              <w:rPr>
                <w:rFonts w:ascii="Times New Roman" w:hAnsi="Times New Roman"/>
                <w:iCs/>
                <w:sz w:val="22"/>
                <w:szCs w:val="22"/>
                <w:lang w:val="bg-BG" w:eastAsia="en-US"/>
              </w:rPr>
              <w:t>.</w:t>
            </w:r>
          </w:p>
        </w:tc>
      </w:tr>
      <w:tr w:rsidR="00201E47" w:rsidRPr="00787979" w:rsidTr="00B77C69">
        <w:trPr>
          <w:cantSplit/>
          <w:trHeight w:val="470"/>
        </w:trPr>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ВАЖНО!</w:t>
            </w:r>
          </w:p>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201E47" w:rsidRPr="00B77C69" w:rsidRDefault="00201E47" w:rsidP="00201E47">
            <w:pPr>
              <w:tabs>
                <w:tab w:val="right" w:pos="7254"/>
              </w:tabs>
              <w:spacing w:before="60" w:after="60"/>
              <w:rPr>
                <w:b/>
                <w:sz w:val="22"/>
                <w:szCs w:val="22"/>
                <w:lang w:val="bg-BG" w:eastAsia="ru-RU"/>
              </w:rPr>
            </w:pPr>
            <w:r w:rsidRPr="00B77C69">
              <w:rPr>
                <w:b/>
                <w:sz w:val="22"/>
                <w:szCs w:val="22"/>
                <w:lang w:val="bg-BG" w:eastAsia="ru-RU"/>
              </w:rPr>
              <w:t>Горните условия се установяват на етап оценка на оферти и в хода на изпълнение на работите.</w:t>
            </w:r>
          </w:p>
        </w:tc>
      </w:tr>
      <w:tr w:rsidR="00201E47" w:rsidRPr="00787979" w:rsidTr="00B77C69">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201E47" w:rsidRPr="00B77C69" w:rsidRDefault="00201E47" w:rsidP="00201E47">
            <w:pPr>
              <w:tabs>
                <w:tab w:val="right" w:pos="7254"/>
              </w:tabs>
              <w:spacing w:before="60" w:after="60"/>
              <w:rPr>
                <w:b/>
                <w:sz w:val="22"/>
                <w:szCs w:val="22"/>
                <w:lang w:val="bg-BG"/>
              </w:rPr>
            </w:pPr>
            <w:r w:rsidRPr="00B77C69">
              <w:rPr>
                <w:b/>
                <w:sz w:val="22"/>
                <w:szCs w:val="22"/>
                <w:lang w:val="bg-BG"/>
              </w:rPr>
              <w:lastRenderedPageBreak/>
              <w:t>III.  Срокове за отделните етапи на провеждане на тендера</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 w:val="center" w:pos="4677"/>
                <w:tab w:val="right" w:pos="9355"/>
              </w:tabs>
              <w:spacing w:before="60" w:after="60"/>
              <w:rPr>
                <w:sz w:val="22"/>
                <w:szCs w:val="22"/>
                <w:lang w:val="bg-BG"/>
              </w:rPr>
            </w:pPr>
            <w:r w:rsidRPr="00B77C69">
              <w:rPr>
                <w:sz w:val="22"/>
                <w:szCs w:val="22"/>
                <w:lang w:val="bg-BG"/>
              </w:rPr>
              <w:t>3.1.</w:t>
            </w:r>
            <w:r w:rsidRPr="00B77C69">
              <w:rPr>
                <w:sz w:val="22"/>
                <w:szCs w:val="22"/>
                <w:lang w:val="bg-BG"/>
              </w:rPr>
              <w:tab/>
              <w:t>Краен срок за заявяване на участие в АСПТ*</w:t>
            </w:r>
          </w:p>
        </w:tc>
        <w:tc>
          <w:tcPr>
            <w:tcW w:w="6946" w:type="dxa"/>
            <w:tcBorders>
              <w:top w:val="single" w:sz="4" w:space="0" w:color="auto"/>
              <w:left w:val="single" w:sz="4" w:space="0" w:color="auto"/>
              <w:bottom w:val="single" w:sz="4" w:space="0" w:color="auto"/>
              <w:right w:val="single" w:sz="4" w:space="0" w:color="auto"/>
            </w:tcBorders>
          </w:tcPr>
          <w:p w:rsidR="00201E47" w:rsidRPr="00787979" w:rsidRDefault="00547D5D" w:rsidP="00787979">
            <w:pPr>
              <w:tabs>
                <w:tab w:val="center" w:pos="4677"/>
                <w:tab w:val="right" w:pos="9355"/>
              </w:tabs>
              <w:spacing w:before="60" w:after="60"/>
              <w:jc w:val="left"/>
              <w:rPr>
                <w:i/>
                <w:iCs/>
                <w:sz w:val="22"/>
                <w:szCs w:val="22"/>
                <w:highlight w:val="yellow"/>
                <w:lang w:val="bg-BG"/>
              </w:rPr>
            </w:pPr>
            <w:r w:rsidRPr="00787979">
              <w:rPr>
                <w:sz w:val="22"/>
                <w:szCs w:val="22"/>
                <w:lang w:val="bg-BG"/>
              </w:rPr>
              <w:t xml:space="preserve">до 16ч. на </w:t>
            </w:r>
            <w:r w:rsidR="00BD1242" w:rsidRPr="00787979">
              <w:rPr>
                <w:sz w:val="22"/>
                <w:szCs w:val="22"/>
                <w:lang w:val="bg-BG"/>
              </w:rPr>
              <w:t>2</w:t>
            </w:r>
            <w:r w:rsidR="00787979" w:rsidRPr="00787979">
              <w:rPr>
                <w:sz w:val="22"/>
                <w:szCs w:val="22"/>
                <w:lang w:val="bg-BG"/>
              </w:rPr>
              <w:t>7</w:t>
            </w:r>
            <w:r w:rsidR="003D39DA" w:rsidRPr="00787979">
              <w:rPr>
                <w:sz w:val="22"/>
                <w:szCs w:val="22"/>
                <w:lang w:val="bg-BG"/>
              </w:rPr>
              <w:t>.0</w:t>
            </w:r>
            <w:r w:rsidR="00BD1242" w:rsidRPr="00787979">
              <w:rPr>
                <w:sz w:val="22"/>
                <w:szCs w:val="22"/>
                <w:lang w:val="bg-BG"/>
              </w:rPr>
              <w:t>5</w:t>
            </w:r>
            <w:r w:rsidR="003D39DA" w:rsidRPr="00787979">
              <w:rPr>
                <w:sz w:val="22"/>
                <w:szCs w:val="22"/>
                <w:lang w:val="bg-BG"/>
              </w:rPr>
              <w:t>.2022г.</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 w:val="center" w:pos="4677"/>
                <w:tab w:val="right" w:pos="9355"/>
              </w:tabs>
              <w:spacing w:before="60" w:after="60"/>
              <w:rPr>
                <w:sz w:val="22"/>
                <w:szCs w:val="22"/>
                <w:lang w:val="bg-BG"/>
              </w:rPr>
            </w:pPr>
            <w:r w:rsidRPr="00B77C69">
              <w:rPr>
                <w:sz w:val="22"/>
                <w:szCs w:val="22"/>
                <w:lang w:val="bg-BG"/>
              </w:rPr>
              <w:t>3.2.</w:t>
            </w:r>
            <w:r w:rsidRPr="00B77C69">
              <w:rPr>
                <w:sz w:val="22"/>
                <w:szCs w:val="22"/>
                <w:lang w:val="bg-BG"/>
              </w:rPr>
              <w:tab/>
              <w:t>Краен срок за Искане за разяснения (форма 11 от АСПТ) от Претендента</w:t>
            </w:r>
          </w:p>
        </w:tc>
        <w:tc>
          <w:tcPr>
            <w:tcW w:w="6946" w:type="dxa"/>
            <w:tcBorders>
              <w:top w:val="single" w:sz="4" w:space="0" w:color="auto"/>
              <w:left w:val="single" w:sz="4" w:space="0" w:color="auto"/>
              <w:bottom w:val="single" w:sz="4" w:space="0" w:color="auto"/>
              <w:right w:val="single" w:sz="4" w:space="0" w:color="auto"/>
            </w:tcBorders>
          </w:tcPr>
          <w:p w:rsidR="00201E47" w:rsidRPr="00787979" w:rsidRDefault="00787979" w:rsidP="00787979">
            <w:pPr>
              <w:tabs>
                <w:tab w:val="center" w:pos="4677"/>
                <w:tab w:val="right" w:pos="9355"/>
              </w:tabs>
              <w:spacing w:before="60" w:after="60"/>
              <w:jc w:val="left"/>
              <w:rPr>
                <w:i/>
                <w:iCs/>
                <w:sz w:val="22"/>
                <w:szCs w:val="22"/>
                <w:highlight w:val="yellow"/>
                <w:lang w:val="bg-BG"/>
              </w:rPr>
            </w:pPr>
            <w:r w:rsidRPr="00787979">
              <w:rPr>
                <w:sz w:val="22"/>
                <w:szCs w:val="22"/>
                <w:lang w:val="ru-RU"/>
              </w:rPr>
              <w:t>01</w:t>
            </w:r>
            <w:r w:rsidR="003D39DA" w:rsidRPr="00787979">
              <w:rPr>
                <w:sz w:val="22"/>
                <w:szCs w:val="22"/>
                <w:lang w:val="ru-RU"/>
              </w:rPr>
              <w:t>.0</w:t>
            </w:r>
            <w:r w:rsidRPr="00787979">
              <w:rPr>
                <w:sz w:val="22"/>
                <w:szCs w:val="22"/>
                <w:lang w:val="ru-RU"/>
              </w:rPr>
              <w:t>6</w:t>
            </w:r>
            <w:r w:rsidR="003D39DA" w:rsidRPr="00787979">
              <w:rPr>
                <w:sz w:val="22"/>
                <w:szCs w:val="22"/>
                <w:lang w:val="ru-RU"/>
              </w:rPr>
              <w:t>.2022г.</w:t>
            </w:r>
          </w:p>
        </w:tc>
      </w:tr>
      <w:tr w:rsidR="00201E47" w:rsidRPr="00B77C69" w:rsidTr="00B77C69">
        <w:trPr>
          <w:cantSplit/>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s>
              <w:spacing w:before="60"/>
              <w:rPr>
                <w:sz w:val="22"/>
                <w:szCs w:val="22"/>
                <w:lang w:val="bg-BG"/>
              </w:rPr>
            </w:pPr>
            <w:r w:rsidRPr="00B77C69">
              <w:rPr>
                <w:sz w:val="22"/>
                <w:szCs w:val="22"/>
                <w:lang w:val="bg-BG"/>
              </w:rPr>
              <w:t>3.3.</w:t>
            </w:r>
            <w:r w:rsidRPr="00B77C69">
              <w:rPr>
                <w:sz w:val="22"/>
                <w:szCs w:val="22"/>
                <w:lang w:val="bg-BG"/>
              </w:rPr>
              <w:tab/>
              <w:t>Краен срок за приемане на оферти в АСПТ</w:t>
            </w:r>
          </w:p>
        </w:tc>
        <w:tc>
          <w:tcPr>
            <w:tcW w:w="6946" w:type="dxa"/>
            <w:tcBorders>
              <w:top w:val="single" w:sz="4" w:space="0" w:color="auto"/>
              <w:left w:val="single" w:sz="4" w:space="0" w:color="auto"/>
              <w:bottom w:val="single" w:sz="4" w:space="0" w:color="auto"/>
              <w:right w:val="single" w:sz="4" w:space="0" w:color="auto"/>
            </w:tcBorders>
          </w:tcPr>
          <w:p w:rsidR="00201E47" w:rsidRPr="00787979" w:rsidRDefault="00787979" w:rsidP="00787979">
            <w:pPr>
              <w:spacing w:before="60"/>
              <w:rPr>
                <w:sz w:val="22"/>
                <w:szCs w:val="22"/>
                <w:highlight w:val="yellow"/>
                <w:lang w:val="bg-BG"/>
              </w:rPr>
            </w:pPr>
            <w:r w:rsidRPr="00787979">
              <w:rPr>
                <w:sz w:val="22"/>
                <w:szCs w:val="22"/>
                <w:lang w:val="bg-BG"/>
              </w:rPr>
              <w:t>05</w:t>
            </w:r>
            <w:r w:rsidR="003D39DA" w:rsidRPr="00787979">
              <w:rPr>
                <w:sz w:val="22"/>
                <w:szCs w:val="22"/>
                <w:lang w:val="bg-BG"/>
              </w:rPr>
              <w:t>.0</w:t>
            </w:r>
            <w:r w:rsidRPr="00787979">
              <w:rPr>
                <w:sz w:val="22"/>
                <w:szCs w:val="22"/>
                <w:lang w:val="bg-BG"/>
              </w:rPr>
              <w:t>6</w:t>
            </w:r>
            <w:r w:rsidR="003D39DA" w:rsidRPr="00787979">
              <w:rPr>
                <w:sz w:val="22"/>
                <w:szCs w:val="22"/>
                <w:lang w:val="bg-BG"/>
              </w:rPr>
              <w:t>.2022г.</w:t>
            </w:r>
          </w:p>
        </w:tc>
      </w:tr>
      <w:tr w:rsidR="00201E47" w:rsidRPr="00787979" w:rsidTr="00B77C69">
        <w:tblPrEx>
          <w:tblBorders>
            <w:insideH w:val="single" w:sz="8" w:space="0" w:color="000000"/>
          </w:tblBorders>
        </w:tblPrEx>
        <w:trPr>
          <w:trHeight w:val="455"/>
        </w:trPr>
        <w:tc>
          <w:tcPr>
            <w:tcW w:w="10490" w:type="dxa"/>
            <w:gridSpan w:val="2"/>
            <w:tcBorders>
              <w:top w:val="single" w:sz="4" w:space="0" w:color="auto"/>
              <w:left w:val="single" w:sz="4" w:space="0" w:color="auto"/>
              <w:bottom w:val="single" w:sz="4" w:space="0" w:color="auto"/>
              <w:right w:val="single" w:sz="4" w:space="0" w:color="auto"/>
            </w:tcBorders>
            <w:vAlign w:val="center"/>
          </w:tcPr>
          <w:p w:rsidR="00201E47" w:rsidRPr="00B77C69" w:rsidRDefault="00201E47" w:rsidP="00201E47">
            <w:pPr>
              <w:tabs>
                <w:tab w:val="right" w:pos="7434"/>
              </w:tabs>
              <w:spacing w:before="60" w:after="60"/>
              <w:rPr>
                <w:b/>
                <w:sz w:val="22"/>
                <w:szCs w:val="22"/>
                <w:lang w:val="bg-BG"/>
              </w:rPr>
            </w:pPr>
            <w:r w:rsidRPr="00B77C69">
              <w:rPr>
                <w:b/>
                <w:sz w:val="22"/>
                <w:szCs w:val="22"/>
                <w:lang w:val="bg-BG"/>
              </w:rPr>
              <w:t>IV.  Адрес и контактна информация</w:t>
            </w:r>
          </w:p>
        </w:tc>
      </w:tr>
      <w:tr w:rsidR="00201E47" w:rsidRPr="00B77C69" w:rsidTr="00B77C69">
        <w:tblPrEx>
          <w:tblBorders>
            <w:insideH w:val="single" w:sz="8" w:space="0" w:color="000000"/>
          </w:tblBorders>
        </w:tblPrEx>
        <w:trPr>
          <w:trHeight w:val="279"/>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60"/>
              </w:tabs>
              <w:spacing w:before="60" w:after="60"/>
              <w:ind w:left="0"/>
              <w:contextualSpacing w:val="0"/>
              <w:jc w:val="both"/>
              <w:rPr>
                <w:rFonts w:ascii="Times New Roman" w:hAnsi="Times New Roman"/>
                <w:sz w:val="22"/>
                <w:szCs w:val="22"/>
                <w:lang w:val="bg-BG"/>
              </w:rPr>
            </w:pPr>
            <w:r w:rsidRPr="00B77C69">
              <w:rPr>
                <w:rFonts w:ascii="Times New Roman" w:hAnsi="Times New Roman"/>
                <w:sz w:val="22"/>
                <w:szCs w:val="22"/>
                <w:lang w:val="bg-BG" w:eastAsia="en-US"/>
              </w:rPr>
              <w:t>4.1.</w:t>
            </w:r>
            <w:r w:rsidRPr="00B77C69">
              <w:rPr>
                <w:rFonts w:ascii="Times New Roman" w:hAnsi="Times New Roman"/>
                <w:sz w:val="22"/>
                <w:szCs w:val="22"/>
                <w:lang w:val="bg-BG" w:eastAsia="en-US"/>
              </w:rPr>
              <w:tab/>
              <w:t>Адрес (e-mail) за електронна кореспонденция</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787979" w:rsidP="00201E47">
            <w:pPr>
              <w:spacing w:before="60"/>
              <w:rPr>
                <w:sz w:val="22"/>
                <w:szCs w:val="22"/>
                <w:lang w:val="bg-BG"/>
              </w:rPr>
            </w:pPr>
            <w:hyperlink r:id="rId8" w:history="1">
              <w:r w:rsidR="00201E47" w:rsidRPr="00B77C69">
                <w:rPr>
                  <w:rStyle w:val="a8"/>
                  <w:color w:val="auto"/>
                  <w:sz w:val="22"/>
                  <w:szCs w:val="22"/>
                  <w:u w:val="none"/>
                  <w:lang w:val="bg-BG"/>
                </w:rPr>
                <w:t>съгласно</w:t>
              </w:r>
            </w:hyperlink>
            <w:r w:rsidR="00201E47" w:rsidRPr="00B77C69">
              <w:rPr>
                <w:rStyle w:val="a8"/>
                <w:color w:val="auto"/>
                <w:sz w:val="22"/>
                <w:szCs w:val="22"/>
                <w:u w:val="none"/>
                <w:lang w:val="bg-BG"/>
              </w:rPr>
              <w:t xml:space="preserve"> АСПТ</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vAlign w:val="center"/>
          </w:tcPr>
          <w:p w:rsidR="00201E47" w:rsidRPr="00B77C69" w:rsidRDefault="00201E47" w:rsidP="00201E47">
            <w:pPr>
              <w:tabs>
                <w:tab w:val="right" w:pos="7254"/>
              </w:tabs>
              <w:spacing w:before="60" w:after="60"/>
              <w:jc w:val="center"/>
              <w:rPr>
                <w:b/>
                <w:sz w:val="22"/>
                <w:szCs w:val="22"/>
                <w:lang w:val="bg-BG"/>
              </w:rPr>
            </w:pPr>
            <w:r w:rsidRPr="00B77C69">
              <w:rPr>
                <w:b/>
                <w:sz w:val="22"/>
                <w:szCs w:val="22"/>
                <w:lang w:val="bg-BG"/>
              </w:rPr>
              <w:t>V.  Подготовка на офертата</w:t>
            </w:r>
          </w:p>
        </w:tc>
      </w:tr>
      <w:tr w:rsidR="00201E47" w:rsidRPr="00B77C69" w:rsidTr="00B77C69">
        <w:tblPrEx>
          <w:tblBorders>
            <w:insideH w:val="single" w:sz="8" w:space="0" w:color="000000"/>
          </w:tblBorders>
        </w:tblPrEx>
        <w:trPr>
          <w:trHeight w:val="70"/>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460"/>
              </w:tabs>
              <w:spacing w:before="60" w:after="60"/>
              <w:rPr>
                <w:sz w:val="22"/>
                <w:szCs w:val="22"/>
                <w:lang w:val="bg-BG"/>
              </w:rPr>
            </w:pPr>
            <w:r w:rsidRPr="00B77C69">
              <w:rPr>
                <w:sz w:val="22"/>
                <w:szCs w:val="22"/>
                <w:lang w:val="bg-BG"/>
              </w:rPr>
              <w:t>5.1.</w:t>
            </w:r>
            <w:r w:rsidRPr="00B77C69">
              <w:rPr>
                <w:sz w:val="22"/>
                <w:szCs w:val="22"/>
                <w:lang w:val="bg-BG"/>
              </w:rPr>
              <w:tab/>
              <w:t>Език на офертата и за кореспонденция.</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spacing w:before="60" w:after="60"/>
              <w:rPr>
                <w:sz w:val="22"/>
                <w:szCs w:val="22"/>
                <w:lang w:val="bg-BG" w:eastAsia="ru-RU"/>
              </w:rPr>
            </w:pPr>
            <w:r w:rsidRPr="00B77C69">
              <w:rPr>
                <w:sz w:val="22"/>
                <w:szCs w:val="22"/>
                <w:lang w:val="bg-BG" w:eastAsia="ru-RU"/>
              </w:rPr>
              <w:t>Български език</w:t>
            </w:r>
          </w:p>
        </w:tc>
      </w:tr>
      <w:tr w:rsidR="00201E47" w:rsidRPr="00B77C6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1"/>
                <w:numId w:val="3"/>
              </w:numPr>
              <w:tabs>
                <w:tab w:val="left" w:pos="460"/>
              </w:tabs>
              <w:spacing w:before="60" w:after="60"/>
              <w:contextualSpacing w:val="0"/>
              <w:rPr>
                <w:rFonts w:ascii="Times New Roman" w:hAnsi="Times New Roman"/>
                <w:sz w:val="22"/>
                <w:szCs w:val="22"/>
                <w:lang w:val="bg-BG"/>
              </w:rPr>
            </w:pPr>
            <w:r w:rsidRPr="00B77C69">
              <w:rPr>
                <w:rFonts w:ascii="Times New Roman" w:hAnsi="Times New Roman"/>
                <w:sz w:val="22"/>
                <w:szCs w:val="22"/>
                <w:lang w:val="bg-BG"/>
              </w:rPr>
              <w:tab/>
              <w:t xml:space="preserve">Валута. </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spacing w:before="60" w:after="60"/>
              <w:rPr>
                <w:sz w:val="22"/>
                <w:szCs w:val="22"/>
                <w:lang w:val="bg-BG" w:eastAsia="ru-RU"/>
              </w:rPr>
            </w:pPr>
            <w:r w:rsidRPr="00B77C69">
              <w:rPr>
                <w:sz w:val="22"/>
                <w:szCs w:val="22"/>
                <w:lang w:val="bg-BG" w:eastAsia="ru-RU"/>
              </w:rPr>
              <w:t>Лева</w:t>
            </w:r>
          </w:p>
        </w:tc>
      </w:tr>
      <w:tr w:rsidR="00201E47" w:rsidRPr="0078797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1"/>
                <w:numId w:val="3"/>
              </w:numPr>
              <w:tabs>
                <w:tab w:val="left" w:pos="460"/>
              </w:tabs>
              <w:spacing w:before="60" w:after="60"/>
              <w:contextualSpacing w:val="0"/>
              <w:rPr>
                <w:rFonts w:ascii="Times New Roman" w:hAnsi="Times New Roman"/>
                <w:sz w:val="22"/>
                <w:szCs w:val="22"/>
                <w:lang w:val="bg-BG"/>
              </w:rPr>
            </w:pPr>
            <w:r w:rsidRPr="00B77C69">
              <w:rPr>
                <w:rFonts w:ascii="Times New Roman" w:hAnsi="Times New Roman"/>
                <w:sz w:val="22"/>
                <w:szCs w:val="22"/>
                <w:lang w:val="bg-BG"/>
              </w:rPr>
              <w:tab/>
              <w:t>Валидност на офертата.</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right" w:pos="7254"/>
              </w:tabs>
              <w:spacing w:before="60" w:after="60"/>
              <w:rPr>
                <w:sz w:val="22"/>
                <w:szCs w:val="22"/>
                <w:lang w:val="bg-BG"/>
              </w:rPr>
            </w:pPr>
            <w:r w:rsidRPr="00B77C69">
              <w:rPr>
                <w:sz w:val="22"/>
                <w:szCs w:val="22"/>
                <w:lang w:val="bg-BG"/>
              </w:rPr>
              <w:t xml:space="preserve">Срокът на валидност на офертите е минимум  </w:t>
            </w:r>
            <w:r w:rsidRPr="00B77C69">
              <w:rPr>
                <w:sz w:val="22"/>
                <w:szCs w:val="22"/>
                <w:lang w:val="bg-BG" w:eastAsia="ru-RU"/>
              </w:rPr>
              <w:t xml:space="preserve">не по-малко от 90 (деветдесет) </w:t>
            </w:r>
            <w:r w:rsidRPr="00B77C69">
              <w:rPr>
                <w:sz w:val="22"/>
                <w:szCs w:val="22"/>
                <w:lang w:val="bg-BG"/>
              </w:rPr>
              <w:t>календарни дни, считано от крайния срок за получаване на офертите.</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right" w:pos="7434"/>
              </w:tabs>
              <w:spacing w:before="60" w:after="60"/>
              <w:rPr>
                <w:b/>
                <w:sz w:val="22"/>
                <w:szCs w:val="22"/>
                <w:lang w:val="bg-BG"/>
              </w:rPr>
            </w:pPr>
            <w:r w:rsidRPr="00B77C69">
              <w:rPr>
                <w:b/>
                <w:sz w:val="22"/>
                <w:szCs w:val="22"/>
                <w:lang w:val="bg-BG"/>
              </w:rPr>
              <w:t>VI.  Приемане и отваряне на тендерните предложения</w:t>
            </w:r>
          </w:p>
        </w:tc>
      </w:tr>
      <w:tr w:rsidR="00201E47" w:rsidRPr="00787979" w:rsidTr="00B77C69">
        <w:tblPrEx>
          <w:tblBorders>
            <w:insideH w:val="single" w:sz="8" w:space="0" w:color="000000"/>
          </w:tblBorders>
        </w:tblPrEx>
        <w:trPr>
          <w:trHeight w:val="545"/>
        </w:trPr>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31"/>
              </w:tabs>
              <w:spacing w:before="60" w:after="60"/>
              <w:ind w:left="0"/>
              <w:contextualSpacing w:val="0"/>
              <w:rPr>
                <w:rFonts w:ascii="Times New Roman" w:hAnsi="Times New Roman"/>
                <w:sz w:val="22"/>
                <w:szCs w:val="22"/>
                <w:lang w:val="bg-BG"/>
              </w:rPr>
            </w:pPr>
            <w:r w:rsidRPr="00B77C69">
              <w:rPr>
                <w:rFonts w:ascii="Times New Roman" w:hAnsi="Times New Roman"/>
                <w:sz w:val="22"/>
                <w:szCs w:val="22"/>
                <w:lang w:val="bg-BG"/>
              </w:rPr>
              <w:t>6.1.</w:t>
            </w:r>
            <w:r w:rsidRPr="00B77C69">
              <w:rPr>
                <w:rFonts w:ascii="Times New Roman" w:hAnsi="Times New Roman"/>
                <w:sz w:val="22"/>
                <w:szCs w:val="22"/>
                <w:lang w:val="bg-BG"/>
              </w:rPr>
              <w:tab/>
              <w:t>Подаване на оферти</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i"/>
              <w:tabs>
                <w:tab w:val="right" w:pos="7254"/>
              </w:tabs>
              <w:spacing w:before="60" w:after="60"/>
              <w:rPr>
                <w:rFonts w:ascii="Times New Roman" w:hAnsi="Times New Roman"/>
                <w:sz w:val="22"/>
                <w:szCs w:val="22"/>
                <w:lang w:val="bg-BG"/>
              </w:rPr>
            </w:pPr>
            <w:r w:rsidRPr="00B77C69">
              <w:rPr>
                <w:rFonts w:ascii="Times New Roman" w:hAnsi="Times New Roman"/>
                <w:sz w:val="22"/>
                <w:szCs w:val="22"/>
                <w:lang w:val="bg-BG"/>
              </w:rPr>
              <w:t>Офертите се подават и приемат само чрез АСПТ</w:t>
            </w:r>
          </w:p>
        </w:tc>
      </w:tr>
      <w:tr w:rsidR="00201E47" w:rsidRPr="00B77C69" w:rsidTr="00B77C69">
        <w:tblPrEx>
          <w:tblBorders>
            <w:insideH w:val="single" w:sz="8" w:space="0" w:color="000000"/>
          </w:tblBorders>
        </w:tblPrEx>
        <w:tc>
          <w:tcPr>
            <w:tcW w:w="3544"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tabs>
                <w:tab w:val="left" w:pos="460"/>
              </w:tabs>
              <w:spacing w:before="60" w:after="60"/>
              <w:ind w:left="0"/>
              <w:contextualSpacing w:val="0"/>
              <w:rPr>
                <w:rFonts w:ascii="Times New Roman" w:hAnsi="Times New Roman"/>
                <w:sz w:val="22"/>
                <w:szCs w:val="22"/>
                <w:lang w:val="bg-BG"/>
              </w:rPr>
            </w:pPr>
            <w:r w:rsidRPr="00B77C69">
              <w:rPr>
                <w:rFonts w:ascii="Times New Roman" w:hAnsi="Times New Roman"/>
                <w:sz w:val="22"/>
                <w:szCs w:val="22"/>
                <w:lang w:val="bg-BG"/>
              </w:rPr>
              <w:t>6.2.</w:t>
            </w:r>
            <w:r w:rsidRPr="00B77C69">
              <w:rPr>
                <w:rFonts w:ascii="Times New Roman" w:hAnsi="Times New Roman"/>
                <w:sz w:val="22"/>
                <w:szCs w:val="22"/>
                <w:lang w:val="bg-BG"/>
              </w:rPr>
              <w:tab/>
              <w:t>Участие на Претенденти в отварянето търговската част на офертите</w:t>
            </w:r>
          </w:p>
        </w:tc>
        <w:tc>
          <w:tcPr>
            <w:tcW w:w="6946" w:type="dxa"/>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i"/>
              <w:tabs>
                <w:tab w:val="right" w:pos="7254"/>
              </w:tabs>
              <w:spacing w:before="60" w:after="60"/>
              <w:rPr>
                <w:rFonts w:ascii="Times New Roman" w:hAnsi="Times New Roman"/>
                <w:sz w:val="22"/>
                <w:szCs w:val="22"/>
                <w:lang w:val="bg-BG"/>
              </w:rPr>
            </w:pPr>
            <w:r w:rsidRPr="00B77C69">
              <w:rPr>
                <w:rFonts w:ascii="Times New Roman" w:hAnsi="Times New Roman"/>
                <w:sz w:val="22"/>
                <w:szCs w:val="22"/>
                <w:lang w:val="bg-BG"/>
              </w:rPr>
              <w:t>ДА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keepNext/>
              <w:keepLines/>
              <w:tabs>
                <w:tab w:val="right" w:pos="7434"/>
              </w:tabs>
              <w:spacing w:before="60" w:after="40"/>
              <w:rPr>
                <w:b/>
                <w:sz w:val="22"/>
                <w:szCs w:val="22"/>
                <w:lang w:val="bg-BG"/>
              </w:rPr>
            </w:pPr>
            <w:r w:rsidRPr="00B77C69">
              <w:rPr>
                <w:b/>
                <w:sz w:val="22"/>
                <w:szCs w:val="22"/>
                <w:lang w:val="bg-BG"/>
              </w:rPr>
              <w:t>VII.  Структура на офертата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0"/>
              </w:tabs>
              <w:autoSpaceDE w:val="0"/>
              <w:autoSpaceDN w:val="0"/>
              <w:adjustRightInd w:val="0"/>
              <w:spacing w:before="60"/>
              <w:ind w:right="127"/>
              <w:rPr>
                <w:b/>
                <w:sz w:val="22"/>
                <w:szCs w:val="22"/>
                <w:lang w:val="bg-BG"/>
              </w:rPr>
            </w:pPr>
            <w:r w:rsidRPr="00B77C69">
              <w:rPr>
                <w:b/>
                <w:sz w:val="22"/>
                <w:szCs w:val="22"/>
                <w:lang w:val="bg-BG"/>
              </w:rPr>
              <w:t>Плик А (Техническа част):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Списък на документите в Плик А; Форма 9,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Квалификационни изисквания; Форма 1, съгласно изискванията на АСПТ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proofErr w:type="spellStart"/>
            <w:r w:rsidRPr="00B77C69">
              <w:rPr>
                <w:rFonts w:ascii="Times New Roman" w:hAnsi="Times New Roman"/>
                <w:sz w:val="22"/>
                <w:szCs w:val="22"/>
                <w:lang w:val="bg-BG"/>
              </w:rPr>
              <w:t>Тендерно</w:t>
            </w:r>
            <w:proofErr w:type="spellEnd"/>
            <w:r w:rsidRPr="00B77C69">
              <w:rPr>
                <w:rFonts w:ascii="Times New Roman" w:hAnsi="Times New Roman"/>
                <w:sz w:val="22"/>
                <w:szCs w:val="22"/>
                <w:lang w:val="bg-BG"/>
              </w:rPr>
              <w:t xml:space="preserve"> предложение (съпроводително писмо към тендерното предложение); Форма 2,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Техническо предложение; Форма 3,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График на доставките / за извършване на работите / за предоставяне на услугите; Форма 5,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Гаранция от главния офис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Въпросник към бизнес партньор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787979" w:rsidTr="00B77C69">
        <w:tblPrEx>
          <w:tblBorders>
            <w:insideH w:val="single" w:sz="8" w:space="0" w:color="000000"/>
          </w:tblBorders>
        </w:tblPrEx>
        <w:trPr>
          <w:trHeight w:val="554"/>
        </w:trPr>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Документи, потвърждаващи взаимоотношенията между претендента и неговите подизпълнители (официални документи за взаимоотношенията с подизпълнител/и за конкретния тендер), ангажирани с извършването на работите/</w:t>
            </w:r>
            <w:r w:rsidRPr="00B77C69">
              <w:rPr>
                <w:rFonts w:ascii="Times New Roman" w:hAnsi="Times New Roman"/>
                <w:sz w:val="22"/>
                <w:szCs w:val="22"/>
              </w:rPr>
              <w:t xml:space="preserve"> </w:t>
            </w:r>
            <w:r w:rsidRPr="00B77C69">
              <w:rPr>
                <w:rFonts w:ascii="Times New Roman" w:hAnsi="Times New Roman"/>
                <w:sz w:val="22"/>
                <w:szCs w:val="22"/>
                <w:lang w:val="en-US"/>
              </w:rPr>
              <w:t>m</w:t>
            </w:r>
            <w:r w:rsidRPr="00B77C69">
              <w:rPr>
                <w:rFonts w:ascii="Times New Roman" w:hAnsi="Times New Roman"/>
                <w:sz w:val="22"/>
                <w:szCs w:val="22"/>
                <w:lang w:val="bg-BG"/>
              </w:rPr>
              <w:t>редоставяне на услуги/ извършване на доставки, които са предмет на тендера, включително копия на лицензи, удостоверения и други разрешителни документи на подизпълнителите; Форма 1, съгласно изискванията на АСПТ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Копия на лицензи, удостоверения и разрешителни, необходими за доставките на стоки / изпълнения на работи / предоставяне на услуги, които са предмет на тендера; Форма 1, съгласно изискванията на АСПТ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Оригинално пълномощно, издадено на лицето, което е подписало Титулен лист (Форма 6), с което се разрешава на това лице (в случаите, когато не е ръководителя на фирмата) да поема задължения от името на Претендента</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787979">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Копие от удостоверението за </w:t>
            </w:r>
            <w:r w:rsidR="00787979">
              <w:rPr>
                <w:rFonts w:ascii="Times New Roman" w:hAnsi="Times New Roman"/>
                <w:sz w:val="22"/>
                <w:szCs w:val="22"/>
                <w:lang w:val="bg-BG"/>
              </w:rPr>
              <w:t>актуално състояние</w:t>
            </w:r>
            <w:r w:rsidRPr="00B77C69">
              <w:rPr>
                <w:rFonts w:ascii="Times New Roman" w:hAnsi="Times New Roman"/>
                <w:sz w:val="22"/>
                <w:szCs w:val="22"/>
                <w:lang w:val="bg-BG"/>
              </w:rPr>
              <w:t xml:space="preserve"> на претендента </w:t>
            </w:r>
            <w:bookmarkStart w:id="1" w:name="_GoBack"/>
            <w:bookmarkEnd w:id="1"/>
            <w:r w:rsidRPr="00B77C69">
              <w:rPr>
                <w:rFonts w:ascii="Times New Roman" w:hAnsi="Times New Roman"/>
                <w:sz w:val="22"/>
                <w:szCs w:val="22"/>
                <w:lang w:val="bg-BG"/>
              </w:rPr>
              <w:t xml:space="preserve">и/или копие от споразумението за консорциум, ако претендента е такъв; Форма 1, съгласно изискванията на АСПТ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A10DF3">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lastRenderedPageBreak/>
              <w:t>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Форма 1</w:t>
            </w:r>
            <w:r w:rsidR="00281E89">
              <w:rPr>
                <w:rFonts w:ascii="Times New Roman" w:hAnsi="Times New Roman"/>
                <w:sz w:val="22"/>
                <w:szCs w:val="22"/>
                <w:lang w:val="bg-BG"/>
              </w:rPr>
              <w:t xml:space="preserve">, </w:t>
            </w:r>
            <w:r w:rsidR="00A10DF3">
              <w:rPr>
                <w:rFonts w:ascii="Times New Roman" w:hAnsi="Times New Roman"/>
                <w:sz w:val="22"/>
                <w:szCs w:val="22"/>
                <w:lang w:val="bg-BG"/>
              </w:rPr>
              <w:t>не се изисква</w:t>
            </w:r>
            <w:r w:rsidR="00281E89">
              <w:rPr>
                <w:rFonts w:ascii="Times New Roman" w:hAnsi="Times New Roman"/>
                <w:sz w:val="22"/>
                <w:szCs w:val="22"/>
                <w:lang w:val="bg-BG"/>
              </w:rPr>
              <w:t>.</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Форма 1, съгласно изискванията на АСПТ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Форма 1, съгласно изискванията на АСПТ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9"/>
              </w:numPr>
              <w:autoSpaceDE w:val="0"/>
              <w:autoSpaceDN w:val="0"/>
              <w:adjustRightInd w:val="0"/>
              <w:spacing w:before="60"/>
              <w:ind w:right="252"/>
              <w:rPr>
                <w:rFonts w:ascii="Times New Roman" w:hAnsi="Times New Roman"/>
                <w:sz w:val="22"/>
                <w:szCs w:val="22"/>
                <w:lang w:val="bg-BG"/>
              </w:rPr>
            </w:pPr>
            <w:r w:rsidRPr="00B77C69">
              <w:rPr>
                <w:rFonts w:ascii="Times New Roman" w:hAnsi="Times New Roman"/>
                <w:sz w:val="22"/>
                <w:szCs w:val="22"/>
                <w:lang w:val="bg-BG"/>
              </w:rPr>
              <w:t>Електронна версия на всички документи в Плик А във формат PDF (записани на електронен носител флаш памет и/или компакт диск, който се поставя в Плик А)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r w:rsidR="000D7103">
              <w:rPr>
                <w:rFonts w:ascii="Times New Roman" w:hAnsi="Times New Roman"/>
                <w:sz w:val="22"/>
                <w:szCs w:val="22"/>
                <w:lang w:val="bg-BG"/>
              </w:rPr>
              <w:t>.</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201E47" w:rsidRPr="00B77C69" w:rsidRDefault="00201E47" w:rsidP="00201E47">
            <w:pPr>
              <w:autoSpaceDE w:val="0"/>
              <w:autoSpaceDN w:val="0"/>
              <w:adjustRightInd w:val="0"/>
              <w:spacing w:before="60"/>
              <w:ind w:firstLine="34"/>
              <w:rPr>
                <w:sz w:val="22"/>
                <w:szCs w:val="22"/>
                <w:lang w:val="bg-BG"/>
              </w:rPr>
            </w:pPr>
            <w:r w:rsidRPr="00B77C69">
              <w:rPr>
                <w:sz w:val="22"/>
                <w:szCs w:val="22"/>
                <w:lang w:val="bg-BG"/>
              </w:rPr>
              <w:t>Забележка: Когато Претендента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201E47" w:rsidRPr="00B77C6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tabs>
                <w:tab w:val="left" w:pos="0"/>
              </w:tabs>
              <w:autoSpaceDE w:val="0"/>
              <w:autoSpaceDN w:val="0"/>
              <w:adjustRightInd w:val="0"/>
              <w:spacing w:before="60"/>
              <w:ind w:left="459" w:right="127" w:hanging="442"/>
              <w:rPr>
                <w:b/>
                <w:sz w:val="22"/>
                <w:szCs w:val="22"/>
                <w:lang w:val="bg-BG"/>
              </w:rPr>
            </w:pPr>
            <w:r w:rsidRPr="00B77C69">
              <w:rPr>
                <w:b/>
                <w:sz w:val="22"/>
                <w:szCs w:val="22"/>
                <w:lang w:val="bg-BG"/>
              </w:rPr>
              <w:t xml:space="preserve">Плик Б (Търговска част) </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49"/>
              <w:contextualSpacing w:val="0"/>
              <w:jc w:val="both"/>
              <w:rPr>
                <w:rFonts w:ascii="Times New Roman" w:hAnsi="Times New Roman"/>
                <w:sz w:val="22"/>
                <w:szCs w:val="22"/>
                <w:lang w:val="bg-BG"/>
              </w:rPr>
            </w:pPr>
            <w:r w:rsidRPr="00B77C69">
              <w:rPr>
                <w:rFonts w:ascii="Times New Roman" w:hAnsi="Times New Roman"/>
                <w:sz w:val="22"/>
                <w:szCs w:val="22"/>
                <w:lang w:val="bg-BG"/>
              </w:rPr>
              <w:t>Списък на документите в Плик Б; Форма 9,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49"/>
              <w:contextualSpacing w:val="0"/>
              <w:jc w:val="both"/>
              <w:rPr>
                <w:rFonts w:ascii="Times New Roman" w:hAnsi="Times New Roman"/>
                <w:sz w:val="22"/>
                <w:szCs w:val="22"/>
                <w:lang w:val="bg-BG"/>
              </w:rPr>
            </w:pPr>
            <w:r w:rsidRPr="00B77C69">
              <w:rPr>
                <w:rFonts w:ascii="Times New Roman" w:hAnsi="Times New Roman"/>
                <w:sz w:val="22"/>
                <w:szCs w:val="22"/>
                <w:lang w:val="bg-BG"/>
              </w:rPr>
              <w:t>Титулен лист; Форма 6,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52"/>
              <w:contextualSpacing w:val="0"/>
              <w:jc w:val="both"/>
              <w:rPr>
                <w:rFonts w:ascii="Times New Roman" w:hAnsi="Times New Roman"/>
                <w:sz w:val="22"/>
                <w:szCs w:val="22"/>
                <w:lang w:val="bg-BG"/>
              </w:rPr>
            </w:pPr>
            <w:r w:rsidRPr="00B77C69">
              <w:rPr>
                <w:rFonts w:ascii="Times New Roman" w:hAnsi="Times New Roman"/>
                <w:sz w:val="22"/>
                <w:szCs w:val="22"/>
                <w:lang w:val="bg-BG"/>
              </w:rPr>
              <w:t>Търговско (ценово) предложение; Форма 7,  съгласно изискванията на АСПТ</w:t>
            </w:r>
          </w:p>
        </w:tc>
      </w:tr>
      <w:tr w:rsidR="00201E47" w:rsidRPr="00787979" w:rsidTr="00B77C69">
        <w:tblPrEx>
          <w:tblBorders>
            <w:insideH w:val="single" w:sz="8" w:space="0" w:color="000000"/>
          </w:tblBorders>
        </w:tblPrEx>
        <w:tc>
          <w:tcPr>
            <w:tcW w:w="10490" w:type="dxa"/>
            <w:gridSpan w:val="2"/>
            <w:tcBorders>
              <w:top w:val="single" w:sz="4" w:space="0" w:color="auto"/>
              <w:left w:val="single" w:sz="4" w:space="0" w:color="auto"/>
              <w:bottom w:val="single" w:sz="4" w:space="0" w:color="auto"/>
              <w:right w:val="single" w:sz="4" w:space="0" w:color="auto"/>
            </w:tcBorders>
          </w:tcPr>
          <w:p w:rsidR="00201E47" w:rsidRPr="00B77C69" w:rsidRDefault="00201E47" w:rsidP="00201E47">
            <w:pPr>
              <w:pStyle w:val="a9"/>
              <w:numPr>
                <w:ilvl w:val="0"/>
                <w:numId w:val="2"/>
              </w:numPr>
              <w:autoSpaceDE w:val="0"/>
              <w:autoSpaceDN w:val="0"/>
              <w:adjustRightInd w:val="0"/>
              <w:spacing w:before="60"/>
              <w:ind w:right="252"/>
              <w:contextualSpacing w:val="0"/>
              <w:jc w:val="both"/>
              <w:rPr>
                <w:rFonts w:ascii="Times New Roman" w:hAnsi="Times New Roman"/>
                <w:sz w:val="22"/>
                <w:szCs w:val="22"/>
                <w:lang w:val="bg-BG"/>
              </w:rPr>
            </w:pPr>
            <w:r w:rsidRPr="00B77C69">
              <w:rPr>
                <w:rFonts w:ascii="Times New Roman" w:hAnsi="Times New Roman"/>
                <w:sz w:val="22"/>
                <w:szCs w:val="22"/>
                <w:lang w:val="bg-BG"/>
              </w:rPr>
              <w:t>Електронна версия на всички документи в Плик Б във формати PDF, MS Word, Excel формати (записани на електронен носител флаш памет и/или компакт диск, който се прилага/поставя в Плик Б) - – не се изисква</w:t>
            </w:r>
            <w:r w:rsidRPr="00B77C69">
              <w:rPr>
                <w:rFonts w:ascii="Times New Roman" w:hAnsi="Times New Roman"/>
                <w:b/>
                <w:sz w:val="22"/>
                <w:szCs w:val="22"/>
                <w:lang w:val="bg-BG"/>
              </w:rPr>
              <w:t xml:space="preserve"> </w:t>
            </w:r>
            <w:r w:rsidRPr="00B77C69">
              <w:rPr>
                <w:rFonts w:ascii="Times New Roman" w:hAnsi="Times New Roman"/>
                <w:sz w:val="22"/>
                <w:szCs w:val="22"/>
                <w:lang w:val="bg-BG"/>
              </w:rPr>
              <w:t>за този тендер</w:t>
            </w:r>
          </w:p>
        </w:tc>
      </w:tr>
    </w:tbl>
    <w:p w:rsidR="0075046B" w:rsidRPr="00B77C69" w:rsidRDefault="0075046B" w:rsidP="003D53BE">
      <w:pPr>
        <w:spacing w:before="120"/>
        <w:rPr>
          <w:sz w:val="22"/>
          <w:szCs w:val="22"/>
          <w:lang w:val="bg-BG"/>
        </w:rPr>
      </w:pPr>
    </w:p>
    <w:p w:rsidR="003D53BE" w:rsidRPr="00B77C69" w:rsidRDefault="007B3A81" w:rsidP="003D53BE">
      <w:pPr>
        <w:spacing w:before="120"/>
        <w:rPr>
          <w:sz w:val="22"/>
          <w:szCs w:val="22"/>
          <w:lang w:val="bg-BG"/>
        </w:rPr>
      </w:pPr>
      <w:r w:rsidRPr="00B77C69">
        <w:rPr>
          <w:sz w:val="22"/>
          <w:szCs w:val="22"/>
          <w:lang w:val="bg-BG"/>
        </w:rPr>
        <w:t>* АСПТ – Автоматизирана</w:t>
      </w:r>
      <w:r w:rsidR="003D53BE" w:rsidRPr="00B77C69">
        <w:rPr>
          <w:sz w:val="22"/>
          <w:szCs w:val="22"/>
          <w:lang w:val="bg-BG"/>
        </w:rPr>
        <w:t xml:space="preserve"> система за провеждане на тендери</w:t>
      </w:r>
    </w:p>
    <w:sectPr w:rsidR="003D53BE" w:rsidRPr="00B77C69" w:rsidSect="00561BC3">
      <w:footerReference w:type="default" r:id="rId9"/>
      <w:pgSz w:w="11907" w:h="16839" w:code="9"/>
      <w:pgMar w:top="567" w:right="850" w:bottom="709"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12" w:rsidRDefault="00151C12" w:rsidP="00CF5625">
      <w:r>
        <w:separator/>
      </w:r>
    </w:p>
  </w:endnote>
  <w:endnote w:type="continuationSeparator" w:id="0">
    <w:p w:rsidR="00151C12" w:rsidRDefault="00151C12"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151C12" w:rsidRPr="006456FF" w:rsidRDefault="00151C12" w:rsidP="006456FF">
        <w:pPr>
          <w:pStyle w:val="ad"/>
          <w:jc w:val="right"/>
          <w:rPr>
            <w:lang w:val="ru-RU"/>
          </w:rPr>
        </w:pPr>
        <w:r>
          <w:fldChar w:fldCharType="begin"/>
        </w:r>
        <w:r>
          <w:instrText xml:space="preserve"> PAGE   \* MERGEFORMAT </w:instrText>
        </w:r>
        <w:r>
          <w:fldChar w:fldCharType="separate"/>
        </w:r>
        <w:r w:rsidR="0078797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12" w:rsidRDefault="00151C12" w:rsidP="00CF5625">
      <w:r>
        <w:separator/>
      </w:r>
    </w:p>
  </w:footnote>
  <w:footnote w:type="continuationSeparator" w:id="0">
    <w:p w:rsidR="00151C12" w:rsidRDefault="00151C12"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257"/>
    <w:multiLevelType w:val="multilevel"/>
    <w:tmpl w:val="FBB02D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75654"/>
    <w:multiLevelType w:val="multilevel"/>
    <w:tmpl w:val="43187196"/>
    <w:lvl w:ilvl="0">
      <w:start w:val="1"/>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F590737"/>
    <w:multiLevelType w:val="hybridMultilevel"/>
    <w:tmpl w:val="B194F82A"/>
    <w:lvl w:ilvl="0" w:tplc="80720024">
      <w:start w:val="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A3BD9"/>
    <w:multiLevelType w:val="hybridMultilevel"/>
    <w:tmpl w:val="F7FAF70C"/>
    <w:lvl w:ilvl="0" w:tplc="BD5C00E0">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4B72"/>
    <w:multiLevelType w:val="hybridMultilevel"/>
    <w:tmpl w:val="0E2ADCF2"/>
    <w:lvl w:ilvl="0" w:tplc="0402000F">
      <w:start w:val="4"/>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8900D47"/>
    <w:multiLevelType w:val="hybridMultilevel"/>
    <w:tmpl w:val="C844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82081"/>
    <w:multiLevelType w:val="hybridMultilevel"/>
    <w:tmpl w:val="FDB0EB06"/>
    <w:lvl w:ilvl="0" w:tplc="3C0AC80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460CC"/>
    <w:multiLevelType w:val="multilevel"/>
    <w:tmpl w:val="837CB440"/>
    <w:lvl w:ilvl="0">
      <w:start w:val="3"/>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0" w15:restartNumberingAfterBreak="0">
    <w:nsid w:val="1C1C255E"/>
    <w:multiLevelType w:val="hybridMultilevel"/>
    <w:tmpl w:val="73A4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46803"/>
    <w:multiLevelType w:val="multilevel"/>
    <w:tmpl w:val="FBB02D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41483"/>
    <w:multiLevelType w:val="hybridMultilevel"/>
    <w:tmpl w:val="4190C0BA"/>
    <w:lvl w:ilvl="0" w:tplc="3BC4467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8F59F3"/>
    <w:multiLevelType w:val="hybridMultilevel"/>
    <w:tmpl w:val="EA5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92432"/>
    <w:multiLevelType w:val="multilevel"/>
    <w:tmpl w:val="9E8ABB44"/>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6" w15:restartNumberingAfterBreak="0">
    <w:nsid w:val="35083538"/>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E01447"/>
    <w:multiLevelType w:val="multilevel"/>
    <w:tmpl w:val="1AC8E4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950DD"/>
    <w:multiLevelType w:val="multilevel"/>
    <w:tmpl w:val="E33E712A"/>
    <w:lvl w:ilvl="0">
      <w:start w:val="2"/>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C022409"/>
    <w:multiLevelType w:val="multilevel"/>
    <w:tmpl w:val="2F005F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8763DE"/>
    <w:multiLevelType w:val="hybridMultilevel"/>
    <w:tmpl w:val="F948F1E2"/>
    <w:lvl w:ilvl="0" w:tplc="1C60E2EA">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06173"/>
    <w:multiLevelType w:val="hybridMultilevel"/>
    <w:tmpl w:val="0136B2A2"/>
    <w:lvl w:ilvl="0" w:tplc="7DAA5A5E">
      <w:start w:val="1"/>
      <w:numFmt w:val="decimal"/>
      <w:lvlText w:val="%1."/>
      <w:lvlJc w:val="left"/>
      <w:pPr>
        <w:ind w:left="720" w:hanging="360"/>
      </w:pPr>
      <w:rPr>
        <w:rFonts w:asciiTheme="majorBidi" w:eastAsia="Times New Roman" w:hAnsiTheme="majorBidi" w:cstheme="maj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61FFE"/>
    <w:multiLevelType w:val="hybridMultilevel"/>
    <w:tmpl w:val="9A3A1528"/>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43584"/>
    <w:multiLevelType w:val="multilevel"/>
    <w:tmpl w:val="6D280AB6"/>
    <w:lvl w:ilvl="0">
      <w:start w:val="4"/>
      <w:numFmt w:val="decimal"/>
      <w:lvlText w:val="%1"/>
      <w:lvlJc w:val="left"/>
      <w:pPr>
        <w:ind w:left="360" w:hanging="360"/>
      </w:pPr>
      <w:rPr>
        <w:rFonts w:ascii="Times New Roman" w:hAnsi="Times New Roman" w:cs="Times New Roman" w:hint="default"/>
        <w:color w:val="000000"/>
      </w:rPr>
    </w:lvl>
    <w:lvl w:ilvl="1">
      <w:start w:val="2"/>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4" w15:restartNumberingAfterBreak="0">
    <w:nsid w:val="64AF690E"/>
    <w:multiLevelType w:val="hybridMultilevel"/>
    <w:tmpl w:val="E08AC80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34BC6"/>
    <w:multiLevelType w:val="hybridMultilevel"/>
    <w:tmpl w:val="B5C6FA88"/>
    <w:lvl w:ilvl="0" w:tplc="0402000F">
      <w:start w:val="5"/>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AD77D6"/>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C923E6"/>
    <w:multiLevelType w:val="hybridMultilevel"/>
    <w:tmpl w:val="51A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22EFE"/>
    <w:multiLevelType w:val="hybridMultilevel"/>
    <w:tmpl w:val="AF2CA59C"/>
    <w:lvl w:ilvl="0" w:tplc="A23EBC7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A6AA9"/>
    <w:multiLevelType w:val="hybridMultilevel"/>
    <w:tmpl w:val="5DD641E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AE456DA"/>
    <w:multiLevelType w:val="multilevel"/>
    <w:tmpl w:val="411094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FA61A7"/>
    <w:multiLevelType w:val="multilevel"/>
    <w:tmpl w:val="AA8C3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5"/>
  </w:num>
  <w:num w:numId="3">
    <w:abstractNumId w:val="2"/>
  </w:num>
  <w:num w:numId="4">
    <w:abstractNumId w:val="1"/>
  </w:num>
  <w:num w:numId="5">
    <w:abstractNumId w:val="31"/>
  </w:num>
  <w:num w:numId="6">
    <w:abstractNumId w:val="12"/>
  </w:num>
  <w:num w:numId="7">
    <w:abstractNumId w:val="16"/>
  </w:num>
  <w:num w:numId="8">
    <w:abstractNumId w:val="5"/>
  </w:num>
  <w:num w:numId="9">
    <w:abstractNumId w:val="27"/>
  </w:num>
  <w:num w:numId="10">
    <w:abstractNumId w:val="20"/>
  </w:num>
  <w:num w:numId="11">
    <w:abstractNumId w:val="8"/>
  </w:num>
  <w:num w:numId="12">
    <w:abstractNumId w:val="28"/>
  </w:num>
  <w:num w:numId="13">
    <w:abstractNumId w:val="4"/>
  </w:num>
  <w:num w:numId="14">
    <w:abstractNumId w:val="9"/>
  </w:num>
  <w:num w:numId="15">
    <w:abstractNumId w:val="30"/>
  </w:num>
  <w:num w:numId="16">
    <w:abstractNumId w:val="23"/>
  </w:num>
  <w:num w:numId="17">
    <w:abstractNumId w:val="26"/>
  </w:num>
  <w:num w:numId="18">
    <w:abstractNumId w:val="13"/>
  </w:num>
  <w:num w:numId="19">
    <w:abstractNumId w:val="24"/>
  </w:num>
  <w:num w:numId="20">
    <w:abstractNumId w:val="22"/>
  </w:num>
  <w:num w:numId="21">
    <w:abstractNumId w:val="10"/>
  </w:num>
  <w:num w:numId="22">
    <w:abstractNumId w:val="7"/>
  </w:num>
  <w:num w:numId="23">
    <w:abstractNumId w:val="21"/>
  </w:num>
  <w:num w:numId="24">
    <w:abstractNumId w:val="29"/>
  </w:num>
  <w:num w:numId="25">
    <w:abstractNumId w:val="25"/>
  </w:num>
  <w:num w:numId="26">
    <w:abstractNumId w:val="6"/>
  </w:num>
  <w:num w:numId="27">
    <w:abstractNumId w:val="17"/>
  </w:num>
  <w:num w:numId="28">
    <w:abstractNumId w:val="18"/>
  </w:num>
  <w:num w:numId="29">
    <w:abstractNumId w:val="0"/>
  </w:num>
  <w:num w:numId="30">
    <w:abstractNumId w:val="11"/>
  </w:num>
  <w:num w:numId="31">
    <w:abstractNumId w:val="14"/>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567"/>
    <w:rsid w:val="00007F6B"/>
    <w:rsid w:val="000108CA"/>
    <w:rsid w:val="00010B52"/>
    <w:rsid w:val="00020658"/>
    <w:rsid w:val="00020BDD"/>
    <w:rsid w:val="00021C7A"/>
    <w:rsid w:val="000241D1"/>
    <w:rsid w:val="000259B9"/>
    <w:rsid w:val="00033044"/>
    <w:rsid w:val="00034803"/>
    <w:rsid w:val="00034B7D"/>
    <w:rsid w:val="00035BF8"/>
    <w:rsid w:val="000401A6"/>
    <w:rsid w:val="00067826"/>
    <w:rsid w:val="000739CB"/>
    <w:rsid w:val="000745C4"/>
    <w:rsid w:val="00086792"/>
    <w:rsid w:val="00092A68"/>
    <w:rsid w:val="00095D9B"/>
    <w:rsid w:val="000A37E1"/>
    <w:rsid w:val="000A4073"/>
    <w:rsid w:val="000A6C44"/>
    <w:rsid w:val="000B6DE7"/>
    <w:rsid w:val="000D0498"/>
    <w:rsid w:val="000D61AA"/>
    <w:rsid w:val="000D692C"/>
    <w:rsid w:val="000D7103"/>
    <w:rsid w:val="000E1999"/>
    <w:rsid w:val="000E664A"/>
    <w:rsid w:val="000F413F"/>
    <w:rsid w:val="00105767"/>
    <w:rsid w:val="00110EA0"/>
    <w:rsid w:val="00111203"/>
    <w:rsid w:val="00111AEF"/>
    <w:rsid w:val="001241D6"/>
    <w:rsid w:val="00130AEA"/>
    <w:rsid w:val="00133F5B"/>
    <w:rsid w:val="001347B1"/>
    <w:rsid w:val="001406A1"/>
    <w:rsid w:val="00143763"/>
    <w:rsid w:val="00144D5A"/>
    <w:rsid w:val="00151C12"/>
    <w:rsid w:val="0015428E"/>
    <w:rsid w:val="0016015E"/>
    <w:rsid w:val="001614DE"/>
    <w:rsid w:val="00175DB1"/>
    <w:rsid w:val="0018009F"/>
    <w:rsid w:val="0018079E"/>
    <w:rsid w:val="00180DC0"/>
    <w:rsid w:val="00184195"/>
    <w:rsid w:val="001866E2"/>
    <w:rsid w:val="00192148"/>
    <w:rsid w:val="001964F6"/>
    <w:rsid w:val="001A36E9"/>
    <w:rsid w:val="001B45A1"/>
    <w:rsid w:val="001B5051"/>
    <w:rsid w:val="001C2F9C"/>
    <w:rsid w:val="001D0C52"/>
    <w:rsid w:val="001D2EB6"/>
    <w:rsid w:val="001E0561"/>
    <w:rsid w:val="001E479E"/>
    <w:rsid w:val="001F270C"/>
    <w:rsid w:val="001F4C68"/>
    <w:rsid w:val="001F6F83"/>
    <w:rsid w:val="00200509"/>
    <w:rsid w:val="00201E47"/>
    <w:rsid w:val="00211D3B"/>
    <w:rsid w:val="00212F12"/>
    <w:rsid w:val="002148AE"/>
    <w:rsid w:val="00231589"/>
    <w:rsid w:val="002326A3"/>
    <w:rsid w:val="00233E83"/>
    <w:rsid w:val="00235C80"/>
    <w:rsid w:val="0024039A"/>
    <w:rsid w:val="00242851"/>
    <w:rsid w:val="002434FE"/>
    <w:rsid w:val="002511C6"/>
    <w:rsid w:val="0025221C"/>
    <w:rsid w:val="002527DF"/>
    <w:rsid w:val="0025633F"/>
    <w:rsid w:val="00256F5C"/>
    <w:rsid w:val="0026162F"/>
    <w:rsid w:val="00266194"/>
    <w:rsid w:val="002712F9"/>
    <w:rsid w:val="00280D68"/>
    <w:rsid w:val="00281E89"/>
    <w:rsid w:val="00284E70"/>
    <w:rsid w:val="00290538"/>
    <w:rsid w:val="00296620"/>
    <w:rsid w:val="002B42E0"/>
    <w:rsid w:val="002B5BBF"/>
    <w:rsid w:val="002D105B"/>
    <w:rsid w:val="002D19A1"/>
    <w:rsid w:val="002D7E7E"/>
    <w:rsid w:val="002E15DD"/>
    <w:rsid w:val="002E6307"/>
    <w:rsid w:val="002F0B44"/>
    <w:rsid w:val="002F1774"/>
    <w:rsid w:val="002F1B2F"/>
    <w:rsid w:val="002F3843"/>
    <w:rsid w:val="002F5C28"/>
    <w:rsid w:val="002F5F70"/>
    <w:rsid w:val="002F666F"/>
    <w:rsid w:val="002F6B13"/>
    <w:rsid w:val="00305A25"/>
    <w:rsid w:val="00307E84"/>
    <w:rsid w:val="003129AC"/>
    <w:rsid w:val="00313C14"/>
    <w:rsid w:val="00332B90"/>
    <w:rsid w:val="00333319"/>
    <w:rsid w:val="0033772C"/>
    <w:rsid w:val="0034558B"/>
    <w:rsid w:val="00353FF1"/>
    <w:rsid w:val="0036253A"/>
    <w:rsid w:val="0036368A"/>
    <w:rsid w:val="0036548C"/>
    <w:rsid w:val="00365700"/>
    <w:rsid w:val="00366FEE"/>
    <w:rsid w:val="003725C2"/>
    <w:rsid w:val="00372FF2"/>
    <w:rsid w:val="00376E6A"/>
    <w:rsid w:val="00382A34"/>
    <w:rsid w:val="003847A3"/>
    <w:rsid w:val="00385CAB"/>
    <w:rsid w:val="00391389"/>
    <w:rsid w:val="003932E4"/>
    <w:rsid w:val="003939DF"/>
    <w:rsid w:val="003942DC"/>
    <w:rsid w:val="00397075"/>
    <w:rsid w:val="003A6AEA"/>
    <w:rsid w:val="003A7AF0"/>
    <w:rsid w:val="003B085A"/>
    <w:rsid w:val="003B3808"/>
    <w:rsid w:val="003C0F04"/>
    <w:rsid w:val="003D2782"/>
    <w:rsid w:val="003D39DA"/>
    <w:rsid w:val="003D53BE"/>
    <w:rsid w:val="003D7288"/>
    <w:rsid w:val="003E01EC"/>
    <w:rsid w:val="003E1FB4"/>
    <w:rsid w:val="003E4487"/>
    <w:rsid w:val="003F0D93"/>
    <w:rsid w:val="003F151D"/>
    <w:rsid w:val="003F185E"/>
    <w:rsid w:val="003F1ACA"/>
    <w:rsid w:val="003F479A"/>
    <w:rsid w:val="003F6275"/>
    <w:rsid w:val="00407834"/>
    <w:rsid w:val="00407EDC"/>
    <w:rsid w:val="00412392"/>
    <w:rsid w:val="00423664"/>
    <w:rsid w:val="004450A8"/>
    <w:rsid w:val="00454172"/>
    <w:rsid w:val="00470039"/>
    <w:rsid w:val="00473B5A"/>
    <w:rsid w:val="0047454F"/>
    <w:rsid w:val="004747CC"/>
    <w:rsid w:val="00476E81"/>
    <w:rsid w:val="0047727D"/>
    <w:rsid w:val="00480B74"/>
    <w:rsid w:val="0048547B"/>
    <w:rsid w:val="00485753"/>
    <w:rsid w:val="0049146E"/>
    <w:rsid w:val="00492852"/>
    <w:rsid w:val="004A0A26"/>
    <w:rsid w:val="004A125A"/>
    <w:rsid w:val="004A2152"/>
    <w:rsid w:val="004A3CC2"/>
    <w:rsid w:val="004A69CD"/>
    <w:rsid w:val="004A6B2A"/>
    <w:rsid w:val="004B5528"/>
    <w:rsid w:val="004C32ED"/>
    <w:rsid w:val="004C37E1"/>
    <w:rsid w:val="004C647B"/>
    <w:rsid w:val="004C7560"/>
    <w:rsid w:val="004D3FB6"/>
    <w:rsid w:val="004D682D"/>
    <w:rsid w:val="004E00F8"/>
    <w:rsid w:val="004E3C9A"/>
    <w:rsid w:val="004E3D7B"/>
    <w:rsid w:val="00511B00"/>
    <w:rsid w:val="00514422"/>
    <w:rsid w:val="00517765"/>
    <w:rsid w:val="00520881"/>
    <w:rsid w:val="00521B0F"/>
    <w:rsid w:val="00521B24"/>
    <w:rsid w:val="005269B1"/>
    <w:rsid w:val="00530CA6"/>
    <w:rsid w:val="00532EB5"/>
    <w:rsid w:val="00534CF4"/>
    <w:rsid w:val="0053500B"/>
    <w:rsid w:val="005470A8"/>
    <w:rsid w:val="00547D5D"/>
    <w:rsid w:val="00552C00"/>
    <w:rsid w:val="005542B1"/>
    <w:rsid w:val="00561BC3"/>
    <w:rsid w:val="00574EDD"/>
    <w:rsid w:val="00581334"/>
    <w:rsid w:val="005839EF"/>
    <w:rsid w:val="00584CB7"/>
    <w:rsid w:val="00592A8F"/>
    <w:rsid w:val="00596C3E"/>
    <w:rsid w:val="005A334D"/>
    <w:rsid w:val="005A50EA"/>
    <w:rsid w:val="005B12C7"/>
    <w:rsid w:val="005B3DB1"/>
    <w:rsid w:val="005B4302"/>
    <w:rsid w:val="005B773D"/>
    <w:rsid w:val="005C62EB"/>
    <w:rsid w:val="005D15FD"/>
    <w:rsid w:val="005E0170"/>
    <w:rsid w:val="005E59D3"/>
    <w:rsid w:val="005F24AA"/>
    <w:rsid w:val="00600E57"/>
    <w:rsid w:val="006111EB"/>
    <w:rsid w:val="006206E8"/>
    <w:rsid w:val="006268C7"/>
    <w:rsid w:val="00630FD2"/>
    <w:rsid w:val="006317C1"/>
    <w:rsid w:val="00644011"/>
    <w:rsid w:val="006456FF"/>
    <w:rsid w:val="00657931"/>
    <w:rsid w:val="00660A81"/>
    <w:rsid w:val="006706D6"/>
    <w:rsid w:val="00673495"/>
    <w:rsid w:val="00676F9F"/>
    <w:rsid w:val="00682159"/>
    <w:rsid w:val="00683096"/>
    <w:rsid w:val="006863FD"/>
    <w:rsid w:val="00693212"/>
    <w:rsid w:val="006B5A56"/>
    <w:rsid w:val="006B6412"/>
    <w:rsid w:val="006C3FDC"/>
    <w:rsid w:val="006C6FD8"/>
    <w:rsid w:val="006D1179"/>
    <w:rsid w:val="006D3F58"/>
    <w:rsid w:val="006E01DD"/>
    <w:rsid w:val="006E15F2"/>
    <w:rsid w:val="006E1C80"/>
    <w:rsid w:val="00701E48"/>
    <w:rsid w:val="00710A30"/>
    <w:rsid w:val="00710FBB"/>
    <w:rsid w:val="00717195"/>
    <w:rsid w:val="00717E3F"/>
    <w:rsid w:val="00720E0A"/>
    <w:rsid w:val="007402EA"/>
    <w:rsid w:val="00741D65"/>
    <w:rsid w:val="007423E3"/>
    <w:rsid w:val="00743B2F"/>
    <w:rsid w:val="0075046B"/>
    <w:rsid w:val="00753A3E"/>
    <w:rsid w:val="007555A0"/>
    <w:rsid w:val="00761F52"/>
    <w:rsid w:val="00765216"/>
    <w:rsid w:val="00787979"/>
    <w:rsid w:val="007920C0"/>
    <w:rsid w:val="00792259"/>
    <w:rsid w:val="007A0410"/>
    <w:rsid w:val="007A0682"/>
    <w:rsid w:val="007A2731"/>
    <w:rsid w:val="007A36E5"/>
    <w:rsid w:val="007B3A81"/>
    <w:rsid w:val="007B6709"/>
    <w:rsid w:val="007B6E0E"/>
    <w:rsid w:val="007B6FEA"/>
    <w:rsid w:val="007C30BC"/>
    <w:rsid w:val="007C50F1"/>
    <w:rsid w:val="007C57B5"/>
    <w:rsid w:val="007D3050"/>
    <w:rsid w:val="007D765E"/>
    <w:rsid w:val="007E0C0A"/>
    <w:rsid w:val="007E1303"/>
    <w:rsid w:val="007E2FA0"/>
    <w:rsid w:val="007E4BEF"/>
    <w:rsid w:val="00820466"/>
    <w:rsid w:val="0082046C"/>
    <w:rsid w:val="008205D8"/>
    <w:rsid w:val="00820F4F"/>
    <w:rsid w:val="008217CD"/>
    <w:rsid w:val="00825F10"/>
    <w:rsid w:val="00831D84"/>
    <w:rsid w:val="00835F05"/>
    <w:rsid w:val="008416DE"/>
    <w:rsid w:val="00843C74"/>
    <w:rsid w:val="00850999"/>
    <w:rsid w:val="00860E03"/>
    <w:rsid w:val="0086322C"/>
    <w:rsid w:val="00863DB1"/>
    <w:rsid w:val="00865004"/>
    <w:rsid w:val="00873248"/>
    <w:rsid w:val="008814F5"/>
    <w:rsid w:val="0088524F"/>
    <w:rsid w:val="0088729F"/>
    <w:rsid w:val="008A19AE"/>
    <w:rsid w:val="008B5CC8"/>
    <w:rsid w:val="008B72E4"/>
    <w:rsid w:val="008C158C"/>
    <w:rsid w:val="008C1BEC"/>
    <w:rsid w:val="008D0F04"/>
    <w:rsid w:val="008D1B1B"/>
    <w:rsid w:val="008E2D6B"/>
    <w:rsid w:val="008E43F7"/>
    <w:rsid w:val="009067B8"/>
    <w:rsid w:val="0091160A"/>
    <w:rsid w:val="00912310"/>
    <w:rsid w:val="009136E0"/>
    <w:rsid w:val="0091623F"/>
    <w:rsid w:val="009165E3"/>
    <w:rsid w:val="00926497"/>
    <w:rsid w:val="009422D3"/>
    <w:rsid w:val="00942F88"/>
    <w:rsid w:val="00943C85"/>
    <w:rsid w:val="00950F35"/>
    <w:rsid w:val="00962CF5"/>
    <w:rsid w:val="0096391B"/>
    <w:rsid w:val="00963A47"/>
    <w:rsid w:val="00965E21"/>
    <w:rsid w:val="00977C3F"/>
    <w:rsid w:val="00986C09"/>
    <w:rsid w:val="009B1297"/>
    <w:rsid w:val="009B363A"/>
    <w:rsid w:val="009C324F"/>
    <w:rsid w:val="009E2ABB"/>
    <w:rsid w:val="00A0383A"/>
    <w:rsid w:val="00A05860"/>
    <w:rsid w:val="00A10DF3"/>
    <w:rsid w:val="00A144C5"/>
    <w:rsid w:val="00A23CA7"/>
    <w:rsid w:val="00A27428"/>
    <w:rsid w:val="00A348A6"/>
    <w:rsid w:val="00A35462"/>
    <w:rsid w:val="00A46156"/>
    <w:rsid w:val="00A5729C"/>
    <w:rsid w:val="00A71953"/>
    <w:rsid w:val="00A803D3"/>
    <w:rsid w:val="00A80B12"/>
    <w:rsid w:val="00A81C87"/>
    <w:rsid w:val="00A8460B"/>
    <w:rsid w:val="00A92C44"/>
    <w:rsid w:val="00A9703F"/>
    <w:rsid w:val="00A97934"/>
    <w:rsid w:val="00AA5739"/>
    <w:rsid w:val="00AA579A"/>
    <w:rsid w:val="00AC26CE"/>
    <w:rsid w:val="00AC64A4"/>
    <w:rsid w:val="00AD0D41"/>
    <w:rsid w:val="00AD1C91"/>
    <w:rsid w:val="00AD36AB"/>
    <w:rsid w:val="00AD475C"/>
    <w:rsid w:val="00AD6507"/>
    <w:rsid w:val="00AE1DF0"/>
    <w:rsid w:val="00AE51DD"/>
    <w:rsid w:val="00AF20AB"/>
    <w:rsid w:val="00AF42BC"/>
    <w:rsid w:val="00B028E6"/>
    <w:rsid w:val="00B038A8"/>
    <w:rsid w:val="00B05F2E"/>
    <w:rsid w:val="00B109D8"/>
    <w:rsid w:val="00B14F3F"/>
    <w:rsid w:val="00B23B86"/>
    <w:rsid w:val="00B32825"/>
    <w:rsid w:val="00B34E88"/>
    <w:rsid w:val="00B37F65"/>
    <w:rsid w:val="00B56F2A"/>
    <w:rsid w:val="00B57C36"/>
    <w:rsid w:val="00B76929"/>
    <w:rsid w:val="00B7736A"/>
    <w:rsid w:val="00B77C69"/>
    <w:rsid w:val="00B84C3E"/>
    <w:rsid w:val="00BA0541"/>
    <w:rsid w:val="00BA2592"/>
    <w:rsid w:val="00BA3E10"/>
    <w:rsid w:val="00BC1C56"/>
    <w:rsid w:val="00BC25E9"/>
    <w:rsid w:val="00BC547B"/>
    <w:rsid w:val="00BC603C"/>
    <w:rsid w:val="00BC6249"/>
    <w:rsid w:val="00BD1242"/>
    <w:rsid w:val="00BD154C"/>
    <w:rsid w:val="00BE1F52"/>
    <w:rsid w:val="00BF0B8C"/>
    <w:rsid w:val="00BF3749"/>
    <w:rsid w:val="00BF6EBF"/>
    <w:rsid w:val="00C21A8B"/>
    <w:rsid w:val="00C24C1F"/>
    <w:rsid w:val="00C2543A"/>
    <w:rsid w:val="00C31B27"/>
    <w:rsid w:val="00C32373"/>
    <w:rsid w:val="00C33E36"/>
    <w:rsid w:val="00C35CEA"/>
    <w:rsid w:val="00C36136"/>
    <w:rsid w:val="00C434BB"/>
    <w:rsid w:val="00C4720F"/>
    <w:rsid w:val="00C475D8"/>
    <w:rsid w:val="00C520E7"/>
    <w:rsid w:val="00C67A61"/>
    <w:rsid w:val="00C714F5"/>
    <w:rsid w:val="00C72547"/>
    <w:rsid w:val="00C75F35"/>
    <w:rsid w:val="00C83AD7"/>
    <w:rsid w:val="00C84744"/>
    <w:rsid w:val="00C85A54"/>
    <w:rsid w:val="00C959FB"/>
    <w:rsid w:val="00C95BCC"/>
    <w:rsid w:val="00C97566"/>
    <w:rsid w:val="00CA201F"/>
    <w:rsid w:val="00CA7926"/>
    <w:rsid w:val="00CB2461"/>
    <w:rsid w:val="00CB6A10"/>
    <w:rsid w:val="00CB6BD1"/>
    <w:rsid w:val="00CB73D5"/>
    <w:rsid w:val="00CC11DF"/>
    <w:rsid w:val="00CD22DC"/>
    <w:rsid w:val="00CD637E"/>
    <w:rsid w:val="00CE0ABD"/>
    <w:rsid w:val="00CE3B1C"/>
    <w:rsid w:val="00CF4670"/>
    <w:rsid w:val="00CF5625"/>
    <w:rsid w:val="00D0109F"/>
    <w:rsid w:val="00D202A2"/>
    <w:rsid w:val="00D2508D"/>
    <w:rsid w:val="00D26CE1"/>
    <w:rsid w:val="00D32386"/>
    <w:rsid w:val="00D3246D"/>
    <w:rsid w:val="00D359B9"/>
    <w:rsid w:val="00D427F3"/>
    <w:rsid w:val="00D4680C"/>
    <w:rsid w:val="00D47127"/>
    <w:rsid w:val="00D529C2"/>
    <w:rsid w:val="00D54C62"/>
    <w:rsid w:val="00D550D8"/>
    <w:rsid w:val="00D63391"/>
    <w:rsid w:val="00D67932"/>
    <w:rsid w:val="00D77E21"/>
    <w:rsid w:val="00D8369C"/>
    <w:rsid w:val="00D91BFA"/>
    <w:rsid w:val="00D96150"/>
    <w:rsid w:val="00D97809"/>
    <w:rsid w:val="00DA3E76"/>
    <w:rsid w:val="00DC2BFA"/>
    <w:rsid w:val="00DC5B46"/>
    <w:rsid w:val="00DD5C7F"/>
    <w:rsid w:val="00DD7127"/>
    <w:rsid w:val="00DE3A2B"/>
    <w:rsid w:val="00DE3CDC"/>
    <w:rsid w:val="00DF7C07"/>
    <w:rsid w:val="00E003C7"/>
    <w:rsid w:val="00E1047D"/>
    <w:rsid w:val="00E11469"/>
    <w:rsid w:val="00E13607"/>
    <w:rsid w:val="00E14748"/>
    <w:rsid w:val="00E21E8A"/>
    <w:rsid w:val="00E24C5D"/>
    <w:rsid w:val="00E24E26"/>
    <w:rsid w:val="00E26759"/>
    <w:rsid w:val="00E2796E"/>
    <w:rsid w:val="00E32574"/>
    <w:rsid w:val="00E4197E"/>
    <w:rsid w:val="00E43E9F"/>
    <w:rsid w:val="00E465C2"/>
    <w:rsid w:val="00E60220"/>
    <w:rsid w:val="00E70BD2"/>
    <w:rsid w:val="00E80B52"/>
    <w:rsid w:val="00E80C2E"/>
    <w:rsid w:val="00E9098E"/>
    <w:rsid w:val="00E91977"/>
    <w:rsid w:val="00E9583C"/>
    <w:rsid w:val="00EA4A2C"/>
    <w:rsid w:val="00EB3B9B"/>
    <w:rsid w:val="00EB6EDF"/>
    <w:rsid w:val="00EB7714"/>
    <w:rsid w:val="00ED0FA6"/>
    <w:rsid w:val="00ED3711"/>
    <w:rsid w:val="00ED4B15"/>
    <w:rsid w:val="00ED5A5C"/>
    <w:rsid w:val="00ED652D"/>
    <w:rsid w:val="00EE0D6B"/>
    <w:rsid w:val="00EE213E"/>
    <w:rsid w:val="00EE3E32"/>
    <w:rsid w:val="00EE5FD1"/>
    <w:rsid w:val="00F01186"/>
    <w:rsid w:val="00F0679E"/>
    <w:rsid w:val="00F110EC"/>
    <w:rsid w:val="00F13670"/>
    <w:rsid w:val="00F155C6"/>
    <w:rsid w:val="00F238BF"/>
    <w:rsid w:val="00F2498D"/>
    <w:rsid w:val="00F2592D"/>
    <w:rsid w:val="00F27F6E"/>
    <w:rsid w:val="00F314C5"/>
    <w:rsid w:val="00F3399A"/>
    <w:rsid w:val="00F33B50"/>
    <w:rsid w:val="00F36D62"/>
    <w:rsid w:val="00F550C5"/>
    <w:rsid w:val="00F5722E"/>
    <w:rsid w:val="00F57E0E"/>
    <w:rsid w:val="00F57F92"/>
    <w:rsid w:val="00F62360"/>
    <w:rsid w:val="00F66E66"/>
    <w:rsid w:val="00F73250"/>
    <w:rsid w:val="00F810E1"/>
    <w:rsid w:val="00F84B4B"/>
    <w:rsid w:val="00F84D33"/>
    <w:rsid w:val="00F9402C"/>
    <w:rsid w:val="00F9668A"/>
    <w:rsid w:val="00FA6764"/>
    <w:rsid w:val="00FB284D"/>
    <w:rsid w:val="00FB357F"/>
    <w:rsid w:val="00FB3B5B"/>
    <w:rsid w:val="00FB73F4"/>
    <w:rsid w:val="00FC693B"/>
    <w:rsid w:val="00FD1C6D"/>
    <w:rsid w:val="00FD245E"/>
    <w:rsid w:val="00FD6CFD"/>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97EC"/>
  <w15:docId w15:val="{37AEC141-07AE-4655-ADC5-07D9985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btenderi@neftochim.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E5DB-1748-41FF-9166-B1FDE6B4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Pages>
  <Words>1030</Words>
  <Characters>5877</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Иван Пенков Минчев</cp:lastModifiedBy>
  <cp:revision>100</cp:revision>
  <cp:lastPrinted>2017-08-03T12:15:00Z</cp:lastPrinted>
  <dcterms:created xsi:type="dcterms:W3CDTF">2020-03-24T13:03:00Z</dcterms:created>
  <dcterms:modified xsi:type="dcterms:W3CDTF">2022-05-04T06:51:00Z</dcterms:modified>
</cp:coreProperties>
</file>