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07E" w:rsidRPr="005F03B9" w:rsidRDefault="00665F66" w:rsidP="0000207E">
      <w:pPr>
        <w:rPr>
          <w:sz w:val="18"/>
          <w:szCs w:val="18"/>
        </w:rPr>
      </w:pPr>
      <w:r>
        <w:rPr>
          <w:sz w:val="18"/>
          <w:szCs w:val="18"/>
        </w:rPr>
        <w:t>Profiel</w:t>
      </w:r>
      <w:r w:rsidR="0000207E" w:rsidRPr="005F03B9">
        <w:rPr>
          <w:sz w:val="18"/>
          <w:szCs w:val="18"/>
        </w:rPr>
        <w:t xml:space="preserve"> </w:t>
      </w:r>
      <w:bookmarkStart w:id="0" w:name="_GoBack"/>
      <w:r w:rsidR="0000207E" w:rsidRPr="005F03B9">
        <w:rPr>
          <w:sz w:val="18"/>
          <w:szCs w:val="18"/>
        </w:rPr>
        <w:t xml:space="preserve">Analist RIEC </w:t>
      </w:r>
      <w:bookmarkEnd w:id="0"/>
      <w:r w:rsidR="0000207E" w:rsidRPr="005F03B9">
        <w:rPr>
          <w:sz w:val="18"/>
          <w:szCs w:val="18"/>
        </w:rPr>
        <w:t>Rotterdam</w:t>
      </w:r>
    </w:p>
    <w:p w:rsidR="0000207E" w:rsidRPr="005F03B9" w:rsidRDefault="0000207E" w:rsidP="0000207E">
      <w:pPr>
        <w:pStyle w:val="Lijstalinea"/>
        <w:numPr>
          <w:ilvl w:val="0"/>
          <w:numId w:val="2"/>
        </w:numPr>
        <w:rPr>
          <w:rFonts w:asciiTheme="minorHAnsi" w:hAnsiTheme="minorHAnsi" w:cs="Arial"/>
          <w:sz w:val="18"/>
          <w:szCs w:val="18"/>
        </w:rPr>
      </w:pPr>
      <w:r w:rsidRPr="005F03B9">
        <w:rPr>
          <w:rFonts w:asciiTheme="minorHAnsi" w:hAnsiTheme="minorHAnsi" w:cs="Arial"/>
          <w:sz w:val="18"/>
          <w:szCs w:val="18"/>
        </w:rPr>
        <w:t>functie: Analist</w:t>
      </w:r>
    </w:p>
    <w:p w:rsidR="0000207E" w:rsidRPr="005F03B9" w:rsidRDefault="0000207E" w:rsidP="0000207E">
      <w:pPr>
        <w:pStyle w:val="Lijstalinea"/>
        <w:numPr>
          <w:ilvl w:val="0"/>
          <w:numId w:val="2"/>
        </w:numPr>
        <w:rPr>
          <w:rFonts w:asciiTheme="minorHAnsi" w:hAnsiTheme="minorHAnsi" w:cs="Arial"/>
          <w:sz w:val="18"/>
          <w:szCs w:val="18"/>
        </w:rPr>
      </w:pPr>
      <w:r w:rsidRPr="005F03B9">
        <w:rPr>
          <w:rFonts w:asciiTheme="minorHAnsi" w:hAnsiTheme="minorHAnsi" w:cs="Arial"/>
          <w:sz w:val="18"/>
          <w:szCs w:val="18"/>
        </w:rPr>
        <w:t>aantal uren: 36</w:t>
      </w:r>
    </w:p>
    <w:p w:rsidR="0000207E" w:rsidRPr="005F03B9" w:rsidRDefault="0000207E" w:rsidP="0000207E">
      <w:pPr>
        <w:pStyle w:val="Lijstalinea"/>
        <w:numPr>
          <w:ilvl w:val="0"/>
          <w:numId w:val="2"/>
        </w:numPr>
        <w:rPr>
          <w:rFonts w:asciiTheme="minorHAnsi" w:hAnsiTheme="minorHAnsi" w:cs="Arial"/>
          <w:sz w:val="18"/>
          <w:szCs w:val="18"/>
        </w:rPr>
      </w:pPr>
      <w:r w:rsidRPr="005F03B9">
        <w:rPr>
          <w:rFonts w:asciiTheme="minorHAnsi" w:hAnsiTheme="minorHAnsi" w:cs="Arial"/>
          <w:sz w:val="18"/>
          <w:szCs w:val="18"/>
        </w:rPr>
        <w:t>SK: 9-10</w:t>
      </w:r>
    </w:p>
    <w:p w:rsidR="0000207E" w:rsidRPr="005F03B9" w:rsidRDefault="0000207E" w:rsidP="0000207E">
      <w:pPr>
        <w:ind w:left="360"/>
        <w:rPr>
          <w:rFonts w:cs="Arial"/>
          <w:sz w:val="18"/>
          <w:szCs w:val="18"/>
        </w:rPr>
      </w:pPr>
    </w:p>
    <w:p w:rsidR="0000207E" w:rsidRPr="005F03B9" w:rsidRDefault="0000207E" w:rsidP="0000207E">
      <w:pPr>
        <w:rPr>
          <w:sz w:val="18"/>
          <w:szCs w:val="18"/>
        </w:rPr>
      </w:pPr>
      <w:r w:rsidRPr="005F03B9">
        <w:rPr>
          <w:sz w:val="18"/>
          <w:szCs w:val="18"/>
        </w:rPr>
        <w:t>Het RIEC Rotterdam</w:t>
      </w:r>
    </w:p>
    <w:p w:rsidR="0000207E" w:rsidRPr="005F03B9" w:rsidRDefault="0000207E" w:rsidP="0000207E">
      <w:pPr>
        <w:rPr>
          <w:sz w:val="18"/>
          <w:szCs w:val="18"/>
        </w:rPr>
      </w:pPr>
      <w:r w:rsidRPr="005F03B9">
        <w:rPr>
          <w:sz w:val="18"/>
          <w:szCs w:val="18"/>
        </w:rPr>
        <w:t>Het RIEC Rotterdam ziet het als haar missie de convenantpartners in staat te stellen tot en te ondersteunen bij de geïntegreerde en bestuurlijke aanpak van georganiseerde criminaliteit. Dat doen het RIEC concreet door te fungeren als informatieknooppunt, het opstellen van integrale handhavingsadviezen en het projectmatig afstemmen van bestuursrechtelijke, strafrechtelijke en fiscale interventies. Daarnaast ondersteunt het RIEC gemeenten casusgericht en met expertise, bijvoorbeeld bij het toepassen van de Wet bevordering integriteitsbeoordelingen door het openbaar bestuur (Bibob).</w:t>
      </w:r>
    </w:p>
    <w:p w:rsidR="0000207E" w:rsidRPr="005F03B9" w:rsidRDefault="0000207E" w:rsidP="0000207E">
      <w:pPr>
        <w:rPr>
          <w:sz w:val="18"/>
          <w:szCs w:val="18"/>
        </w:rPr>
      </w:pPr>
      <w:r w:rsidRPr="005F03B9">
        <w:rPr>
          <w:sz w:val="18"/>
          <w:szCs w:val="18"/>
        </w:rPr>
        <w:t>Het RIEC Rotterdam verricht haar werkzaamheden binnen de landelijk geprioriteerde thema’s, zoals vastgelegd in de Veiligheidsagenda 2015 – 2018 en het Nationaal Dreigingsbeeld (NDB).  Anderzijds ligt de aandacht op de regionaal, door het gezag (burgemeesters</w:t>
      </w:r>
      <w:r w:rsidR="005F03B9" w:rsidRPr="005F03B9">
        <w:rPr>
          <w:sz w:val="18"/>
          <w:szCs w:val="18"/>
        </w:rPr>
        <w:t xml:space="preserve"> en OM), benoemde prioriteiten.</w:t>
      </w:r>
      <w:r w:rsidRPr="005F03B9">
        <w:rPr>
          <w:sz w:val="18"/>
          <w:szCs w:val="18"/>
        </w:rPr>
        <w:t xml:space="preserve"> Deze regionale prioriteiten zijn</w:t>
      </w:r>
      <w:r w:rsidR="005F03B9" w:rsidRPr="005F03B9">
        <w:rPr>
          <w:sz w:val="18"/>
          <w:szCs w:val="18"/>
        </w:rPr>
        <w:t xml:space="preserve"> door de stuurgroep</w:t>
      </w:r>
      <w:r w:rsidRPr="005F03B9">
        <w:rPr>
          <w:sz w:val="18"/>
          <w:szCs w:val="18"/>
        </w:rPr>
        <w:t xml:space="preserve"> </w:t>
      </w:r>
      <w:r w:rsidR="005F03B9" w:rsidRPr="005F03B9">
        <w:rPr>
          <w:sz w:val="18"/>
          <w:szCs w:val="18"/>
        </w:rPr>
        <w:t>RIEC</w:t>
      </w:r>
      <w:r w:rsidRPr="005F03B9">
        <w:rPr>
          <w:sz w:val="18"/>
          <w:szCs w:val="18"/>
        </w:rPr>
        <w:t xml:space="preserve"> benoemde en vastgestelde ‘handhavingsknelpunten’ en regionale thema’s,</w:t>
      </w:r>
    </w:p>
    <w:p w:rsidR="0000207E" w:rsidRPr="005F03B9" w:rsidRDefault="0000207E" w:rsidP="0000207E">
      <w:pPr>
        <w:spacing w:after="0"/>
        <w:rPr>
          <w:rFonts w:eastAsia="ヒラギノ角ゴ Pro W3" w:cs="Calibri"/>
          <w:i/>
          <w:iCs/>
          <w:color w:val="000000"/>
          <w:sz w:val="18"/>
          <w:szCs w:val="18"/>
          <w:lang w:eastAsia="nl-NL"/>
        </w:rPr>
      </w:pPr>
      <w:r w:rsidRPr="005F03B9">
        <w:rPr>
          <w:rFonts w:eastAsia="ヒラギノ角ゴ Pro W3" w:cs="Calibri"/>
          <w:iCs/>
          <w:color w:val="000000"/>
          <w:sz w:val="18"/>
          <w:szCs w:val="18"/>
          <w:lang w:eastAsia="nl-NL"/>
        </w:rPr>
        <w:t>Binnen het RIEC Rotterdam betekent dit dat de focus ligt op:</w:t>
      </w:r>
    </w:p>
    <w:p w:rsidR="0000207E" w:rsidRPr="005F03B9" w:rsidRDefault="0000207E" w:rsidP="0000207E">
      <w:pPr>
        <w:pStyle w:val="Geenafstand"/>
        <w:numPr>
          <w:ilvl w:val="0"/>
          <w:numId w:val="1"/>
        </w:numPr>
        <w:spacing w:line="276" w:lineRule="auto"/>
        <w:rPr>
          <w:rFonts w:asciiTheme="minorHAnsi" w:eastAsia="Calibri" w:hAnsiTheme="minorHAnsi" w:cs="Calibri"/>
          <w:color w:val="auto"/>
          <w:sz w:val="18"/>
          <w:szCs w:val="18"/>
          <w:lang w:eastAsia="en-US"/>
        </w:rPr>
      </w:pPr>
      <w:r w:rsidRPr="005F03B9">
        <w:rPr>
          <w:rFonts w:asciiTheme="minorHAnsi" w:eastAsia="Calibri" w:hAnsiTheme="minorHAnsi" w:cs="Calibri"/>
          <w:color w:val="auto"/>
          <w:sz w:val="18"/>
          <w:szCs w:val="18"/>
          <w:lang w:eastAsia="en-US"/>
        </w:rPr>
        <w:t>Mensenhandel en -smokkel;</w:t>
      </w:r>
    </w:p>
    <w:p w:rsidR="0000207E" w:rsidRPr="005F03B9" w:rsidRDefault="0000207E" w:rsidP="0000207E">
      <w:pPr>
        <w:pStyle w:val="Geenafstand"/>
        <w:numPr>
          <w:ilvl w:val="0"/>
          <w:numId w:val="1"/>
        </w:numPr>
        <w:spacing w:line="276" w:lineRule="auto"/>
        <w:rPr>
          <w:rFonts w:asciiTheme="minorHAnsi" w:eastAsia="Calibri" w:hAnsiTheme="minorHAnsi" w:cs="Calibri"/>
          <w:color w:val="auto"/>
          <w:sz w:val="18"/>
          <w:szCs w:val="18"/>
          <w:lang w:eastAsia="en-US"/>
        </w:rPr>
      </w:pPr>
      <w:r w:rsidRPr="005F03B9">
        <w:rPr>
          <w:rFonts w:asciiTheme="minorHAnsi" w:eastAsia="Calibri" w:hAnsiTheme="minorHAnsi" w:cs="Calibri"/>
          <w:color w:val="auto"/>
          <w:sz w:val="18"/>
          <w:szCs w:val="18"/>
          <w:lang w:eastAsia="en-US"/>
        </w:rPr>
        <w:t xml:space="preserve">Georganiseerde hennepteelt; </w:t>
      </w:r>
    </w:p>
    <w:p w:rsidR="0000207E" w:rsidRPr="005F03B9" w:rsidRDefault="0000207E" w:rsidP="0000207E">
      <w:pPr>
        <w:pStyle w:val="Geenafstand"/>
        <w:numPr>
          <w:ilvl w:val="0"/>
          <w:numId w:val="1"/>
        </w:numPr>
        <w:spacing w:line="276" w:lineRule="auto"/>
        <w:rPr>
          <w:rFonts w:asciiTheme="minorHAnsi" w:eastAsia="Calibri" w:hAnsiTheme="minorHAnsi" w:cs="Calibri"/>
          <w:color w:val="auto"/>
          <w:sz w:val="18"/>
          <w:szCs w:val="18"/>
          <w:lang w:eastAsia="en-US"/>
        </w:rPr>
      </w:pPr>
      <w:r w:rsidRPr="005F03B9">
        <w:rPr>
          <w:rFonts w:asciiTheme="minorHAnsi" w:eastAsia="Calibri" w:hAnsiTheme="minorHAnsi" w:cs="Calibri"/>
          <w:color w:val="auto"/>
          <w:sz w:val="18"/>
          <w:szCs w:val="18"/>
          <w:lang w:eastAsia="en-US"/>
        </w:rPr>
        <w:t xml:space="preserve">Fraude /misbruik in de vastgoedsector; </w:t>
      </w:r>
    </w:p>
    <w:p w:rsidR="0000207E" w:rsidRPr="005F03B9" w:rsidRDefault="0000207E" w:rsidP="0000207E">
      <w:pPr>
        <w:pStyle w:val="Geenafstand"/>
        <w:numPr>
          <w:ilvl w:val="0"/>
          <w:numId w:val="1"/>
        </w:numPr>
        <w:spacing w:line="276" w:lineRule="auto"/>
        <w:rPr>
          <w:rFonts w:asciiTheme="minorHAnsi" w:eastAsia="Calibri" w:hAnsiTheme="minorHAnsi" w:cs="Calibri"/>
          <w:color w:val="auto"/>
          <w:sz w:val="18"/>
          <w:szCs w:val="18"/>
          <w:lang w:eastAsia="en-US"/>
        </w:rPr>
      </w:pPr>
      <w:r w:rsidRPr="005F03B9">
        <w:rPr>
          <w:rFonts w:asciiTheme="minorHAnsi" w:eastAsia="Calibri" w:hAnsiTheme="minorHAnsi" w:cs="Calibri"/>
          <w:color w:val="auto"/>
          <w:sz w:val="18"/>
          <w:szCs w:val="18"/>
          <w:lang w:eastAsia="en-US"/>
        </w:rPr>
        <w:t>Witwassen en daaraan gerelateerde vormen van financieel-economische criminaliteit.</w:t>
      </w:r>
    </w:p>
    <w:p w:rsidR="0000207E" w:rsidRPr="005F03B9" w:rsidRDefault="0000207E" w:rsidP="0000207E">
      <w:pPr>
        <w:pStyle w:val="Geenafstand"/>
        <w:numPr>
          <w:ilvl w:val="0"/>
          <w:numId w:val="1"/>
        </w:numPr>
        <w:spacing w:line="276" w:lineRule="auto"/>
        <w:rPr>
          <w:rFonts w:asciiTheme="minorHAnsi" w:eastAsia="Calibri" w:hAnsiTheme="minorHAnsi" w:cs="Calibri"/>
          <w:color w:val="auto"/>
          <w:sz w:val="18"/>
          <w:szCs w:val="18"/>
          <w:lang w:eastAsia="en-US"/>
        </w:rPr>
      </w:pPr>
      <w:r w:rsidRPr="005F03B9">
        <w:rPr>
          <w:rFonts w:asciiTheme="minorHAnsi" w:eastAsia="Calibri" w:hAnsiTheme="minorHAnsi" w:cs="Calibri"/>
          <w:color w:val="auto"/>
          <w:sz w:val="18"/>
          <w:szCs w:val="18"/>
          <w:lang w:eastAsia="en-US"/>
        </w:rPr>
        <w:t>O</w:t>
      </w:r>
      <w:r w:rsidR="005F03B9" w:rsidRPr="005F03B9">
        <w:rPr>
          <w:rFonts w:asciiTheme="minorHAnsi" w:eastAsia="Calibri" w:hAnsiTheme="minorHAnsi" w:cs="Calibri"/>
          <w:color w:val="auto"/>
          <w:sz w:val="18"/>
          <w:szCs w:val="18"/>
          <w:lang w:eastAsia="en-US"/>
        </w:rPr>
        <w:t xml:space="preserve">utlaw </w:t>
      </w:r>
      <w:proofErr w:type="spellStart"/>
      <w:r w:rsidRPr="005F03B9">
        <w:rPr>
          <w:rFonts w:asciiTheme="minorHAnsi" w:eastAsia="Calibri" w:hAnsiTheme="minorHAnsi" w:cs="Calibri"/>
          <w:color w:val="auto"/>
          <w:sz w:val="18"/>
          <w:szCs w:val="18"/>
          <w:lang w:eastAsia="en-US"/>
        </w:rPr>
        <w:t>M</w:t>
      </w:r>
      <w:r w:rsidR="005F03B9" w:rsidRPr="005F03B9">
        <w:rPr>
          <w:rFonts w:asciiTheme="minorHAnsi" w:eastAsia="Calibri" w:hAnsiTheme="minorHAnsi" w:cs="Calibri"/>
          <w:color w:val="auto"/>
          <w:sz w:val="18"/>
          <w:szCs w:val="18"/>
          <w:lang w:eastAsia="en-US"/>
        </w:rPr>
        <w:t>otorcycle</w:t>
      </w:r>
      <w:proofErr w:type="spellEnd"/>
      <w:r w:rsidR="005F03B9" w:rsidRPr="005F03B9">
        <w:rPr>
          <w:rFonts w:asciiTheme="minorHAnsi" w:eastAsia="Calibri" w:hAnsiTheme="minorHAnsi" w:cs="Calibri"/>
          <w:color w:val="auto"/>
          <w:sz w:val="18"/>
          <w:szCs w:val="18"/>
          <w:lang w:eastAsia="en-US"/>
        </w:rPr>
        <w:t xml:space="preserve"> </w:t>
      </w:r>
      <w:r w:rsidRPr="005F03B9">
        <w:rPr>
          <w:rFonts w:asciiTheme="minorHAnsi" w:eastAsia="Calibri" w:hAnsiTheme="minorHAnsi" w:cs="Calibri"/>
          <w:color w:val="auto"/>
          <w:sz w:val="18"/>
          <w:szCs w:val="18"/>
          <w:lang w:eastAsia="en-US"/>
        </w:rPr>
        <w:t>G</w:t>
      </w:r>
      <w:r w:rsidR="005F03B9" w:rsidRPr="005F03B9">
        <w:rPr>
          <w:rFonts w:asciiTheme="minorHAnsi" w:eastAsia="Calibri" w:hAnsiTheme="minorHAnsi" w:cs="Calibri"/>
          <w:color w:val="auto"/>
          <w:sz w:val="18"/>
          <w:szCs w:val="18"/>
          <w:lang w:eastAsia="en-US"/>
        </w:rPr>
        <w:t>angs</w:t>
      </w:r>
      <w:r w:rsidRPr="005F03B9">
        <w:rPr>
          <w:rFonts w:asciiTheme="minorHAnsi" w:eastAsia="Calibri" w:hAnsiTheme="minorHAnsi" w:cs="Calibri"/>
          <w:color w:val="auto"/>
          <w:sz w:val="18"/>
          <w:szCs w:val="18"/>
          <w:lang w:eastAsia="en-US"/>
        </w:rPr>
        <w:t>;</w:t>
      </w:r>
    </w:p>
    <w:p w:rsidR="0000207E" w:rsidRPr="005F03B9" w:rsidRDefault="0000207E" w:rsidP="0000207E">
      <w:pPr>
        <w:pStyle w:val="Geenafstand"/>
        <w:numPr>
          <w:ilvl w:val="0"/>
          <w:numId w:val="1"/>
        </w:numPr>
        <w:spacing w:line="276" w:lineRule="auto"/>
        <w:rPr>
          <w:rFonts w:asciiTheme="minorHAnsi" w:eastAsia="Calibri" w:hAnsiTheme="minorHAnsi" w:cs="Calibri"/>
          <w:color w:val="auto"/>
          <w:sz w:val="18"/>
          <w:szCs w:val="18"/>
          <w:lang w:eastAsia="en-US"/>
        </w:rPr>
      </w:pPr>
      <w:r w:rsidRPr="005F03B9">
        <w:rPr>
          <w:rFonts w:asciiTheme="minorHAnsi" w:eastAsia="Calibri" w:hAnsiTheme="minorHAnsi" w:cs="Calibri"/>
          <w:color w:val="auto"/>
          <w:sz w:val="18"/>
          <w:szCs w:val="18"/>
          <w:lang w:eastAsia="en-US"/>
        </w:rPr>
        <w:t>Woonwagencentra;</w:t>
      </w:r>
    </w:p>
    <w:p w:rsidR="0000207E" w:rsidRPr="005F03B9" w:rsidRDefault="0000207E" w:rsidP="0000207E">
      <w:pPr>
        <w:pStyle w:val="Geenafstand"/>
        <w:numPr>
          <w:ilvl w:val="0"/>
          <w:numId w:val="1"/>
        </w:numPr>
        <w:spacing w:line="276" w:lineRule="auto"/>
        <w:rPr>
          <w:rFonts w:asciiTheme="minorHAnsi" w:eastAsia="Calibri" w:hAnsiTheme="minorHAnsi" w:cs="Calibri"/>
          <w:color w:val="auto"/>
          <w:sz w:val="18"/>
          <w:szCs w:val="18"/>
          <w:lang w:eastAsia="en-US"/>
        </w:rPr>
      </w:pPr>
      <w:r w:rsidRPr="005F03B9">
        <w:rPr>
          <w:rFonts w:asciiTheme="minorHAnsi" w:eastAsia="Calibri" w:hAnsiTheme="minorHAnsi" w:cs="Calibri"/>
          <w:color w:val="auto"/>
          <w:sz w:val="18"/>
          <w:szCs w:val="18"/>
          <w:lang w:eastAsia="en-US"/>
        </w:rPr>
        <w:t>Windhappers:</w:t>
      </w:r>
    </w:p>
    <w:p w:rsidR="0000207E" w:rsidRPr="005F03B9" w:rsidRDefault="0000207E" w:rsidP="0000207E">
      <w:pPr>
        <w:pStyle w:val="Geenafstand"/>
        <w:numPr>
          <w:ilvl w:val="0"/>
          <w:numId w:val="1"/>
        </w:numPr>
        <w:spacing w:line="276" w:lineRule="auto"/>
        <w:rPr>
          <w:rFonts w:asciiTheme="minorHAnsi" w:eastAsia="Calibri" w:hAnsiTheme="minorHAnsi" w:cs="Calibri"/>
          <w:color w:val="auto"/>
          <w:sz w:val="18"/>
          <w:szCs w:val="18"/>
          <w:lang w:eastAsia="en-US"/>
        </w:rPr>
      </w:pPr>
      <w:r w:rsidRPr="005F03B9">
        <w:rPr>
          <w:rFonts w:asciiTheme="minorHAnsi" w:eastAsia="Calibri" w:hAnsiTheme="minorHAnsi" w:cs="Calibri"/>
          <w:color w:val="auto"/>
          <w:sz w:val="18"/>
          <w:szCs w:val="18"/>
          <w:lang w:eastAsia="en-US"/>
        </w:rPr>
        <w:t>Harddrugs.</w:t>
      </w:r>
    </w:p>
    <w:p w:rsidR="005F03B9" w:rsidRPr="005F03B9" w:rsidRDefault="005F03B9" w:rsidP="0000207E">
      <w:pPr>
        <w:pStyle w:val="Geenafstand"/>
        <w:numPr>
          <w:ilvl w:val="0"/>
          <w:numId w:val="1"/>
        </w:numPr>
        <w:spacing w:line="276" w:lineRule="auto"/>
        <w:rPr>
          <w:rFonts w:asciiTheme="minorHAnsi" w:eastAsia="Calibri" w:hAnsiTheme="minorHAnsi" w:cs="Calibri"/>
          <w:color w:val="auto"/>
          <w:sz w:val="18"/>
          <w:szCs w:val="18"/>
          <w:lang w:eastAsia="en-US"/>
        </w:rPr>
      </w:pPr>
      <w:r w:rsidRPr="005F03B9">
        <w:rPr>
          <w:rFonts w:asciiTheme="minorHAnsi" w:eastAsia="Calibri" w:hAnsiTheme="minorHAnsi" w:cs="Calibri"/>
          <w:color w:val="auto"/>
          <w:sz w:val="18"/>
          <w:szCs w:val="18"/>
          <w:lang w:eastAsia="en-US"/>
        </w:rPr>
        <w:t>Illegale prostitutie</w:t>
      </w:r>
    </w:p>
    <w:p w:rsidR="005F03B9" w:rsidRPr="005F03B9" w:rsidRDefault="005F03B9" w:rsidP="0000207E">
      <w:pPr>
        <w:pStyle w:val="Geenafstand"/>
        <w:spacing w:line="276" w:lineRule="auto"/>
        <w:rPr>
          <w:rFonts w:asciiTheme="minorHAnsi" w:eastAsia="Calibri" w:hAnsiTheme="minorHAnsi" w:cs="Calibri"/>
          <w:color w:val="auto"/>
          <w:sz w:val="18"/>
          <w:szCs w:val="18"/>
          <w:lang w:eastAsia="en-US"/>
        </w:rPr>
      </w:pPr>
    </w:p>
    <w:p w:rsidR="0000207E" w:rsidRPr="005F03B9" w:rsidRDefault="0000207E" w:rsidP="0000207E">
      <w:pPr>
        <w:pStyle w:val="Geenafstand"/>
        <w:spacing w:line="276" w:lineRule="auto"/>
        <w:rPr>
          <w:rFonts w:asciiTheme="minorHAnsi" w:eastAsia="Calibri" w:hAnsiTheme="minorHAnsi" w:cs="Calibri"/>
          <w:color w:val="auto"/>
          <w:sz w:val="18"/>
          <w:szCs w:val="18"/>
          <w:lang w:eastAsia="en-US"/>
        </w:rPr>
      </w:pPr>
      <w:r w:rsidRPr="005F03B9">
        <w:rPr>
          <w:rFonts w:asciiTheme="minorHAnsi" w:eastAsia="Calibri" w:hAnsiTheme="minorHAnsi" w:cs="Calibri"/>
          <w:color w:val="auto"/>
          <w:sz w:val="18"/>
          <w:szCs w:val="18"/>
          <w:lang w:eastAsia="en-US"/>
        </w:rPr>
        <w:t>Aan het samenwerkingsverband van het</w:t>
      </w:r>
      <w:r w:rsidR="00665F66">
        <w:rPr>
          <w:rFonts w:asciiTheme="minorHAnsi" w:eastAsia="Calibri" w:hAnsiTheme="minorHAnsi" w:cs="Calibri"/>
          <w:color w:val="auto"/>
          <w:sz w:val="18"/>
          <w:szCs w:val="18"/>
          <w:lang w:eastAsia="en-US"/>
        </w:rPr>
        <w:t xml:space="preserve"> RIEC Rotterdam nemen deel: 32 </w:t>
      </w:r>
      <w:r w:rsidRPr="005F03B9">
        <w:rPr>
          <w:rFonts w:asciiTheme="minorHAnsi" w:eastAsia="Calibri" w:hAnsiTheme="minorHAnsi" w:cs="Calibri"/>
          <w:color w:val="auto"/>
          <w:sz w:val="18"/>
          <w:szCs w:val="18"/>
          <w:lang w:eastAsia="en-US"/>
        </w:rPr>
        <w:t xml:space="preserve">gemeenten, OM, politie eenheid Rotterdam, Belastingdienst (waaronder de onderdelen Belastingen, Toeslagen, Douane en FIOD), Inspectie SZW, </w:t>
      </w:r>
      <w:proofErr w:type="spellStart"/>
      <w:r w:rsidRPr="005F03B9">
        <w:rPr>
          <w:rFonts w:asciiTheme="minorHAnsi" w:eastAsia="Calibri" w:hAnsiTheme="minorHAnsi" w:cs="Calibri"/>
          <w:color w:val="auto"/>
          <w:sz w:val="18"/>
          <w:szCs w:val="18"/>
          <w:lang w:eastAsia="en-US"/>
        </w:rPr>
        <w:t>KMar</w:t>
      </w:r>
      <w:proofErr w:type="spellEnd"/>
      <w:r w:rsidRPr="005F03B9">
        <w:rPr>
          <w:rFonts w:asciiTheme="minorHAnsi" w:eastAsia="Calibri" w:hAnsiTheme="minorHAnsi" w:cs="Calibri"/>
          <w:color w:val="auto"/>
          <w:sz w:val="18"/>
          <w:szCs w:val="18"/>
          <w:lang w:eastAsia="en-US"/>
        </w:rPr>
        <w:t xml:space="preserve">, IND en Provincie Zuid-Holland. </w:t>
      </w:r>
    </w:p>
    <w:p w:rsidR="0000207E" w:rsidRDefault="0000207E">
      <w:pPr>
        <w:rPr>
          <w:sz w:val="18"/>
          <w:szCs w:val="18"/>
        </w:rPr>
      </w:pPr>
    </w:p>
    <w:p w:rsidR="005F03B9" w:rsidRPr="005F03B9" w:rsidRDefault="005F03B9">
      <w:pPr>
        <w:rPr>
          <w:sz w:val="18"/>
          <w:szCs w:val="18"/>
          <w:u w:val="single"/>
        </w:rPr>
      </w:pPr>
      <w:r w:rsidRPr="005F03B9">
        <w:rPr>
          <w:sz w:val="18"/>
          <w:szCs w:val="18"/>
          <w:u w:val="single"/>
        </w:rPr>
        <w:t>De functie</w:t>
      </w:r>
    </w:p>
    <w:p w:rsidR="005F03B9" w:rsidRPr="005F03B9" w:rsidRDefault="005F03B9" w:rsidP="005F03B9">
      <w:pPr>
        <w:rPr>
          <w:rFonts w:cs="Arial"/>
          <w:sz w:val="18"/>
          <w:szCs w:val="18"/>
        </w:rPr>
      </w:pPr>
      <w:r w:rsidRPr="005F03B9">
        <w:rPr>
          <w:rFonts w:cs="Helvetica"/>
          <w:sz w:val="18"/>
          <w:szCs w:val="18"/>
        </w:rPr>
        <w:t xml:space="preserve">In deze functie werk je mee aan een optimale samenwerking met gemeenten en andere partners in de regio Rotterdam op het gebied van de aanpak van zware en ondermijnende criminaliteit. De analist draagt bij aan het ontrafelen en blootleggen van ondermijnende structuren en verwevenheid tussen onder- en bovenwereld door in concrete casuïstiek vorm te geven aan een proces van integrale analyse en bijbehorende ontwikkeling van effectieve </w:t>
      </w:r>
      <w:proofErr w:type="spellStart"/>
      <w:r w:rsidRPr="005F03B9">
        <w:rPr>
          <w:rFonts w:cs="Helvetica"/>
          <w:sz w:val="18"/>
          <w:szCs w:val="18"/>
        </w:rPr>
        <w:t>interventiestrategiëen</w:t>
      </w:r>
      <w:proofErr w:type="spellEnd"/>
      <w:r w:rsidRPr="005F03B9">
        <w:rPr>
          <w:rFonts w:cs="Helvetica"/>
          <w:sz w:val="18"/>
          <w:szCs w:val="18"/>
        </w:rPr>
        <w:t>. De analist verricht zelfstandig complexe analysetaken met betrekking tot juridische, bestuurlijke en fiscale data en gegevens, regisseert, coördineert en stuurt de samenwerkingspartners in deze integrale analysefase en rapporteert en presenteert de uitkomsten en interventieadviezen die op grond van de analyse relevant en maximaal effectief zijn.</w:t>
      </w:r>
    </w:p>
    <w:p w:rsidR="005F03B9" w:rsidRPr="005F03B9" w:rsidRDefault="005F03B9" w:rsidP="005F03B9">
      <w:pPr>
        <w:spacing w:after="0" w:line="240" w:lineRule="auto"/>
        <w:rPr>
          <w:rFonts w:cs="Arial"/>
          <w:sz w:val="18"/>
          <w:szCs w:val="18"/>
        </w:rPr>
      </w:pPr>
      <w:r w:rsidRPr="005F03B9">
        <w:rPr>
          <w:rFonts w:cs="Arial"/>
          <w:sz w:val="18"/>
          <w:szCs w:val="18"/>
        </w:rPr>
        <w:t xml:space="preserve">kerntaken: </w:t>
      </w:r>
      <w:r w:rsidRPr="005F03B9">
        <w:rPr>
          <w:rFonts w:cs="Arial"/>
          <w:sz w:val="18"/>
          <w:szCs w:val="18"/>
        </w:rPr>
        <w:br/>
        <w:t xml:space="preserve">- Analyseren, duiden en interpreteren van concrete informatie in complexe casuïstiek (operationele analyse) op het gebied van georganiseerde ondermijnende criminaliteit, benoemde handhavingsknelpunten </w:t>
      </w:r>
      <w:proofErr w:type="spellStart"/>
      <w:r w:rsidRPr="005F03B9">
        <w:rPr>
          <w:rFonts w:cs="Arial"/>
          <w:sz w:val="18"/>
          <w:szCs w:val="18"/>
        </w:rPr>
        <w:t>danwel</w:t>
      </w:r>
      <w:proofErr w:type="spellEnd"/>
      <w:r w:rsidRPr="005F03B9">
        <w:rPr>
          <w:rFonts w:cs="Arial"/>
          <w:sz w:val="18"/>
          <w:szCs w:val="18"/>
        </w:rPr>
        <w:t xml:space="preserve"> criminele (sub)thema’s </w:t>
      </w:r>
      <w:r w:rsidRPr="005F03B9">
        <w:rPr>
          <w:rFonts w:cs="Arial"/>
          <w:sz w:val="18"/>
          <w:szCs w:val="18"/>
        </w:rPr>
        <w:br/>
        <w:t xml:space="preserve">- Adviseren over mogelijke interventiestrategieën </w:t>
      </w:r>
      <w:r w:rsidRPr="005F03B9">
        <w:rPr>
          <w:rFonts w:cs="Arial"/>
          <w:sz w:val="18"/>
          <w:szCs w:val="18"/>
        </w:rPr>
        <w:br/>
        <w:t>- Regisseren en sturen van integrale analyse-werkgroepen</w:t>
      </w:r>
      <w:r w:rsidRPr="005F03B9">
        <w:rPr>
          <w:rFonts w:cs="Arial"/>
          <w:sz w:val="18"/>
          <w:szCs w:val="18"/>
        </w:rPr>
        <w:br/>
        <w:t xml:space="preserve">- Rapporteren, registreren en documenteren van vertrouwelijke tot geheime informatie </w:t>
      </w:r>
      <w:r w:rsidRPr="005F03B9">
        <w:rPr>
          <w:rFonts w:cs="Arial"/>
          <w:sz w:val="18"/>
          <w:szCs w:val="18"/>
        </w:rPr>
        <w:br/>
      </w:r>
      <w:r w:rsidRPr="005F03B9">
        <w:rPr>
          <w:rFonts w:cs="Arial"/>
          <w:sz w:val="18"/>
          <w:szCs w:val="18"/>
        </w:rPr>
        <w:lastRenderedPageBreak/>
        <w:t>- Rapporteren over problemen, prioriteiten en mogelijke interventiestrategieën</w:t>
      </w:r>
      <w:r w:rsidRPr="005F03B9">
        <w:rPr>
          <w:rFonts w:cs="Arial"/>
          <w:sz w:val="18"/>
          <w:szCs w:val="18"/>
        </w:rPr>
        <w:br/>
        <w:t xml:space="preserve">- Initiatief nemen </w:t>
      </w:r>
      <w:r>
        <w:rPr>
          <w:rFonts w:cs="Arial"/>
          <w:sz w:val="18"/>
          <w:szCs w:val="18"/>
        </w:rPr>
        <w:t>in o</w:t>
      </w:r>
      <w:r w:rsidRPr="005F03B9">
        <w:rPr>
          <w:rFonts w:cs="Arial"/>
          <w:sz w:val="18"/>
          <w:szCs w:val="18"/>
        </w:rPr>
        <w:t>ntwikkelen methoden en analyseproducten</w:t>
      </w:r>
    </w:p>
    <w:p w:rsidR="005F03B9" w:rsidRDefault="005F03B9">
      <w:pPr>
        <w:rPr>
          <w:sz w:val="18"/>
          <w:szCs w:val="18"/>
        </w:rPr>
      </w:pPr>
    </w:p>
    <w:p w:rsidR="005F03B9" w:rsidRPr="005F29C2" w:rsidRDefault="005F03B9">
      <w:pPr>
        <w:rPr>
          <w:sz w:val="18"/>
          <w:szCs w:val="18"/>
          <w:u w:val="single"/>
        </w:rPr>
      </w:pPr>
      <w:r w:rsidRPr="005F29C2">
        <w:rPr>
          <w:sz w:val="18"/>
          <w:szCs w:val="18"/>
          <w:u w:val="single"/>
        </w:rPr>
        <w:t>Wat vragen we:</w:t>
      </w:r>
    </w:p>
    <w:p w:rsidR="005F03B9" w:rsidRPr="005F03B9" w:rsidRDefault="005F03B9" w:rsidP="005F03B9">
      <w:pPr>
        <w:numPr>
          <w:ilvl w:val="0"/>
          <w:numId w:val="5"/>
        </w:numPr>
        <w:spacing w:after="0" w:line="240" w:lineRule="auto"/>
        <w:rPr>
          <w:sz w:val="18"/>
          <w:szCs w:val="18"/>
        </w:rPr>
      </w:pPr>
      <w:r w:rsidRPr="005F03B9">
        <w:rPr>
          <w:sz w:val="18"/>
          <w:szCs w:val="18"/>
        </w:rPr>
        <w:t>WO (</w:t>
      </w:r>
      <w:r>
        <w:rPr>
          <w:sz w:val="18"/>
          <w:szCs w:val="18"/>
        </w:rPr>
        <w:t xml:space="preserve">bij voorkeur </w:t>
      </w:r>
      <w:r w:rsidRPr="005F03B9">
        <w:rPr>
          <w:sz w:val="18"/>
          <w:szCs w:val="18"/>
        </w:rPr>
        <w:t>rechten, criminologie en/of bestuurskunde)</w:t>
      </w:r>
    </w:p>
    <w:p w:rsidR="005F03B9" w:rsidRPr="005F03B9" w:rsidRDefault="005F03B9" w:rsidP="005F03B9">
      <w:pPr>
        <w:numPr>
          <w:ilvl w:val="0"/>
          <w:numId w:val="5"/>
        </w:numPr>
        <w:spacing w:after="0" w:line="240" w:lineRule="auto"/>
        <w:rPr>
          <w:sz w:val="18"/>
          <w:szCs w:val="18"/>
        </w:rPr>
      </w:pPr>
      <w:r w:rsidRPr="005F03B9">
        <w:rPr>
          <w:sz w:val="18"/>
          <w:szCs w:val="18"/>
        </w:rPr>
        <w:t>Aantoonbare bovengemiddelde kennis van het brede thema Ondermijning</w:t>
      </w:r>
    </w:p>
    <w:p w:rsidR="005F03B9" w:rsidRPr="005F03B9" w:rsidRDefault="005F03B9" w:rsidP="005F03B9">
      <w:pPr>
        <w:pStyle w:val="Plattetekst2"/>
        <w:numPr>
          <w:ilvl w:val="0"/>
          <w:numId w:val="5"/>
        </w:numPr>
        <w:rPr>
          <w:rFonts w:asciiTheme="minorHAnsi" w:hAnsiTheme="minorHAnsi" w:cs="Arial"/>
          <w:szCs w:val="18"/>
        </w:rPr>
      </w:pPr>
      <w:r w:rsidRPr="005F03B9">
        <w:rPr>
          <w:rFonts w:asciiTheme="minorHAnsi" w:hAnsiTheme="minorHAnsi" w:cs="Arial"/>
          <w:szCs w:val="18"/>
        </w:rPr>
        <w:t xml:space="preserve">Ervaring met en kennis van de werkwijze van de bestuurlijke partners en </w:t>
      </w:r>
      <w:r w:rsidR="00665F66">
        <w:rPr>
          <w:rFonts w:asciiTheme="minorHAnsi" w:hAnsiTheme="minorHAnsi" w:cs="Arial"/>
          <w:szCs w:val="18"/>
        </w:rPr>
        <w:t xml:space="preserve">(bijzondere) </w:t>
      </w:r>
      <w:r w:rsidRPr="005F03B9">
        <w:rPr>
          <w:rFonts w:asciiTheme="minorHAnsi" w:hAnsiTheme="minorHAnsi" w:cs="Arial"/>
          <w:szCs w:val="18"/>
        </w:rPr>
        <w:t>opsporingsdiensten</w:t>
      </w:r>
    </w:p>
    <w:p w:rsidR="005F03B9" w:rsidRDefault="005F03B9" w:rsidP="005F03B9">
      <w:pPr>
        <w:pStyle w:val="Plattetekst2"/>
        <w:numPr>
          <w:ilvl w:val="0"/>
          <w:numId w:val="5"/>
        </w:numPr>
        <w:rPr>
          <w:rFonts w:asciiTheme="minorHAnsi" w:hAnsiTheme="minorHAnsi" w:cs="Arial"/>
          <w:szCs w:val="18"/>
        </w:rPr>
      </w:pPr>
      <w:r w:rsidRPr="005F03B9">
        <w:rPr>
          <w:rFonts w:asciiTheme="minorHAnsi" w:hAnsiTheme="minorHAnsi" w:cs="Arial"/>
          <w:szCs w:val="18"/>
        </w:rPr>
        <w:t xml:space="preserve">Ervaring met en kennis van analysetools (o.a. </w:t>
      </w:r>
      <w:proofErr w:type="spellStart"/>
      <w:r w:rsidRPr="005F03B9">
        <w:rPr>
          <w:rFonts w:asciiTheme="minorHAnsi" w:hAnsiTheme="minorHAnsi" w:cs="Arial"/>
          <w:szCs w:val="18"/>
        </w:rPr>
        <w:t>IBase</w:t>
      </w:r>
      <w:proofErr w:type="spellEnd"/>
      <w:r w:rsidRPr="005F03B9">
        <w:rPr>
          <w:rFonts w:asciiTheme="minorHAnsi" w:hAnsiTheme="minorHAnsi" w:cs="Arial"/>
          <w:szCs w:val="18"/>
        </w:rPr>
        <w:t>, ANB, SPSS)</w:t>
      </w:r>
    </w:p>
    <w:p w:rsidR="00665F66" w:rsidRDefault="00665F66" w:rsidP="005F03B9">
      <w:pPr>
        <w:pStyle w:val="Plattetekst2"/>
        <w:numPr>
          <w:ilvl w:val="0"/>
          <w:numId w:val="5"/>
        </w:numPr>
        <w:rPr>
          <w:rFonts w:asciiTheme="minorHAnsi" w:hAnsiTheme="minorHAnsi" w:cs="Arial"/>
          <w:szCs w:val="18"/>
        </w:rPr>
      </w:pPr>
      <w:r>
        <w:rPr>
          <w:rFonts w:asciiTheme="minorHAnsi" w:hAnsiTheme="minorHAnsi" w:cs="Arial"/>
          <w:szCs w:val="18"/>
        </w:rPr>
        <w:t>Ervaring met en kennis van de Wwft en aanverwante regelgeving</w:t>
      </w:r>
    </w:p>
    <w:p w:rsidR="00665F66" w:rsidRDefault="00665F66" w:rsidP="005F03B9">
      <w:pPr>
        <w:pStyle w:val="Plattetekst2"/>
        <w:numPr>
          <w:ilvl w:val="0"/>
          <w:numId w:val="5"/>
        </w:numPr>
        <w:rPr>
          <w:rFonts w:asciiTheme="minorHAnsi" w:hAnsiTheme="minorHAnsi" w:cs="Arial"/>
          <w:szCs w:val="18"/>
        </w:rPr>
      </w:pPr>
      <w:r>
        <w:rPr>
          <w:rFonts w:asciiTheme="minorHAnsi" w:hAnsiTheme="minorHAnsi" w:cs="Arial"/>
          <w:szCs w:val="18"/>
        </w:rPr>
        <w:t>Aantoonbare kennis van witwas-typologieën en actuele inzichten vanuit AMLC en FATF</w:t>
      </w:r>
    </w:p>
    <w:p w:rsidR="00665F66" w:rsidRDefault="00665F66" w:rsidP="005F03B9">
      <w:pPr>
        <w:pStyle w:val="Plattetekst2"/>
        <w:numPr>
          <w:ilvl w:val="0"/>
          <w:numId w:val="5"/>
        </w:numPr>
        <w:rPr>
          <w:rFonts w:asciiTheme="minorHAnsi" w:hAnsiTheme="minorHAnsi" w:cs="Arial"/>
          <w:szCs w:val="18"/>
        </w:rPr>
      </w:pPr>
      <w:r>
        <w:rPr>
          <w:rFonts w:asciiTheme="minorHAnsi" w:hAnsiTheme="minorHAnsi" w:cs="Arial"/>
          <w:szCs w:val="18"/>
        </w:rPr>
        <w:t>Aantoonbaar netwerk binnen in ieder geval FIU, AMLC, BFT,</w:t>
      </w:r>
      <w:r w:rsidR="00A550A9">
        <w:rPr>
          <w:rFonts w:asciiTheme="minorHAnsi" w:hAnsiTheme="minorHAnsi" w:cs="Arial"/>
          <w:szCs w:val="18"/>
        </w:rPr>
        <w:t xml:space="preserve"> Politie, OM,</w:t>
      </w:r>
      <w:r>
        <w:rPr>
          <w:rFonts w:asciiTheme="minorHAnsi" w:hAnsiTheme="minorHAnsi" w:cs="Arial"/>
          <w:szCs w:val="18"/>
        </w:rPr>
        <w:t xml:space="preserve"> FIOD</w:t>
      </w:r>
      <w:r w:rsidR="00A550A9">
        <w:rPr>
          <w:rFonts w:asciiTheme="minorHAnsi" w:hAnsiTheme="minorHAnsi" w:cs="Arial"/>
          <w:szCs w:val="18"/>
        </w:rPr>
        <w:t>, FEC</w:t>
      </w:r>
      <w:r>
        <w:rPr>
          <w:rFonts w:asciiTheme="minorHAnsi" w:hAnsiTheme="minorHAnsi" w:cs="Arial"/>
          <w:szCs w:val="18"/>
        </w:rPr>
        <w:t xml:space="preserve"> en FATF</w:t>
      </w:r>
    </w:p>
    <w:p w:rsidR="00665F66" w:rsidRDefault="00665F66" w:rsidP="005F03B9">
      <w:pPr>
        <w:pStyle w:val="Plattetekst2"/>
        <w:numPr>
          <w:ilvl w:val="0"/>
          <w:numId w:val="5"/>
        </w:numPr>
        <w:rPr>
          <w:rFonts w:asciiTheme="minorHAnsi" w:hAnsiTheme="minorHAnsi" w:cs="Arial"/>
          <w:szCs w:val="18"/>
        </w:rPr>
      </w:pPr>
      <w:r>
        <w:rPr>
          <w:rFonts w:asciiTheme="minorHAnsi" w:hAnsiTheme="minorHAnsi" w:cs="Arial"/>
          <w:szCs w:val="18"/>
        </w:rPr>
        <w:t>Ervaring met en kennis van integrale afpak-methoden</w:t>
      </w:r>
    </w:p>
    <w:p w:rsidR="00665F66" w:rsidRPr="005F03B9" w:rsidRDefault="00A550A9" w:rsidP="005F03B9">
      <w:pPr>
        <w:pStyle w:val="Plattetekst2"/>
        <w:numPr>
          <w:ilvl w:val="0"/>
          <w:numId w:val="5"/>
        </w:numPr>
        <w:rPr>
          <w:rFonts w:asciiTheme="minorHAnsi" w:hAnsiTheme="minorHAnsi" w:cs="Arial"/>
          <w:szCs w:val="18"/>
        </w:rPr>
      </w:pPr>
      <w:r>
        <w:rPr>
          <w:rFonts w:asciiTheme="minorHAnsi" w:hAnsiTheme="minorHAnsi" w:cs="Arial"/>
          <w:szCs w:val="18"/>
        </w:rPr>
        <w:t>Ruime e</w:t>
      </w:r>
      <w:r w:rsidR="00665F66">
        <w:rPr>
          <w:rFonts w:asciiTheme="minorHAnsi" w:hAnsiTheme="minorHAnsi" w:cs="Arial"/>
          <w:szCs w:val="18"/>
        </w:rPr>
        <w:t>rvaring met en kennis van het RIEC-samenwerkingsverband</w:t>
      </w:r>
    </w:p>
    <w:p w:rsidR="005F03B9" w:rsidRPr="005F03B9" w:rsidRDefault="005F03B9">
      <w:pPr>
        <w:rPr>
          <w:sz w:val="18"/>
          <w:szCs w:val="18"/>
        </w:rPr>
      </w:pPr>
    </w:p>
    <w:p w:rsidR="005F03B9" w:rsidRPr="005F29C2" w:rsidRDefault="005F03B9">
      <w:pPr>
        <w:rPr>
          <w:sz w:val="18"/>
          <w:szCs w:val="18"/>
          <w:u w:val="single"/>
        </w:rPr>
      </w:pPr>
      <w:r w:rsidRPr="005F29C2">
        <w:rPr>
          <w:sz w:val="18"/>
          <w:szCs w:val="18"/>
          <w:u w:val="single"/>
        </w:rPr>
        <w:t>Wat neem je mee/competenties:</w:t>
      </w:r>
    </w:p>
    <w:p w:rsidR="005F03B9" w:rsidRPr="005F03B9" w:rsidRDefault="005F03B9" w:rsidP="005F03B9">
      <w:pPr>
        <w:pStyle w:val="Lijstalinea"/>
        <w:numPr>
          <w:ilvl w:val="0"/>
          <w:numId w:val="8"/>
        </w:numPr>
        <w:rPr>
          <w:rFonts w:cs="Arial"/>
          <w:color w:val="262626"/>
          <w:sz w:val="18"/>
          <w:szCs w:val="18"/>
          <w:lang w:eastAsia="nl-NL"/>
        </w:rPr>
      </w:pPr>
      <w:r w:rsidRPr="005F03B9">
        <w:rPr>
          <w:rFonts w:cs="Arial"/>
          <w:color w:val="262626"/>
          <w:sz w:val="18"/>
          <w:szCs w:val="18"/>
          <w:lang w:eastAsia="nl-NL"/>
        </w:rPr>
        <w:t>Analytisch vermogen</w:t>
      </w:r>
    </w:p>
    <w:p w:rsidR="005F03B9" w:rsidRPr="005F03B9" w:rsidRDefault="005F03B9" w:rsidP="005F03B9">
      <w:pPr>
        <w:pStyle w:val="Lijstalinea"/>
        <w:numPr>
          <w:ilvl w:val="0"/>
          <w:numId w:val="8"/>
        </w:numPr>
        <w:rPr>
          <w:rFonts w:cs="Arial"/>
          <w:color w:val="262626"/>
          <w:sz w:val="18"/>
          <w:szCs w:val="18"/>
          <w:lang w:eastAsia="nl-NL"/>
        </w:rPr>
      </w:pPr>
      <w:r w:rsidRPr="005F03B9">
        <w:rPr>
          <w:rFonts w:cs="Arial"/>
          <w:color w:val="262626"/>
          <w:sz w:val="18"/>
          <w:szCs w:val="18"/>
          <w:lang w:eastAsia="nl-NL"/>
        </w:rPr>
        <w:t>Organisatievermogen</w:t>
      </w:r>
    </w:p>
    <w:p w:rsidR="005F03B9" w:rsidRPr="005F03B9" w:rsidRDefault="005F03B9" w:rsidP="005F03B9">
      <w:pPr>
        <w:pStyle w:val="Lijstalinea"/>
        <w:numPr>
          <w:ilvl w:val="0"/>
          <w:numId w:val="8"/>
        </w:numPr>
        <w:rPr>
          <w:rFonts w:cs="Arial"/>
          <w:color w:val="262626"/>
          <w:sz w:val="18"/>
          <w:szCs w:val="18"/>
          <w:lang w:eastAsia="nl-NL"/>
        </w:rPr>
      </w:pPr>
      <w:r w:rsidRPr="005F03B9">
        <w:rPr>
          <w:rFonts w:cs="Arial"/>
          <w:color w:val="262626"/>
          <w:sz w:val="18"/>
          <w:szCs w:val="18"/>
          <w:lang w:eastAsia="nl-NL"/>
        </w:rPr>
        <w:t>Initiatief</w:t>
      </w:r>
      <w:r w:rsidR="005F29C2">
        <w:rPr>
          <w:rFonts w:cs="Arial"/>
          <w:color w:val="262626"/>
          <w:sz w:val="18"/>
          <w:szCs w:val="18"/>
          <w:lang w:eastAsia="nl-NL"/>
        </w:rPr>
        <w:t>rijk</w:t>
      </w:r>
    </w:p>
    <w:p w:rsidR="005F03B9" w:rsidRPr="005F03B9" w:rsidRDefault="005F03B9" w:rsidP="005F03B9">
      <w:pPr>
        <w:pStyle w:val="Lijstalinea"/>
        <w:numPr>
          <w:ilvl w:val="0"/>
          <w:numId w:val="8"/>
        </w:numPr>
        <w:rPr>
          <w:rFonts w:cs="Arial"/>
          <w:color w:val="262626"/>
          <w:sz w:val="18"/>
          <w:szCs w:val="18"/>
          <w:lang w:eastAsia="nl-NL"/>
        </w:rPr>
      </w:pPr>
      <w:r w:rsidRPr="005F03B9">
        <w:rPr>
          <w:rFonts w:cs="Arial"/>
          <w:color w:val="262626"/>
          <w:sz w:val="18"/>
          <w:szCs w:val="18"/>
          <w:lang w:eastAsia="nl-NL"/>
        </w:rPr>
        <w:t>Resultaatgerichtheid</w:t>
      </w:r>
    </w:p>
    <w:p w:rsidR="005F03B9" w:rsidRPr="005F03B9" w:rsidRDefault="005F03B9" w:rsidP="005F03B9">
      <w:pPr>
        <w:pStyle w:val="Lijstalinea"/>
        <w:numPr>
          <w:ilvl w:val="0"/>
          <w:numId w:val="8"/>
        </w:numPr>
        <w:rPr>
          <w:rFonts w:cs="Arial"/>
          <w:color w:val="262626"/>
          <w:sz w:val="18"/>
          <w:szCs w:val="18"/>
          <w:lang w:eastAsia="nl-NL"/>
        </w:rPr>
      </w:pPr>
      <w:r w:rsidRPr="005F03B9">
        <w:rPr>
          <w:rFonts w:cs="Arial"/>
          <w:color w:val="262626"/>
          <w:sz w:val="18"/>
          <w:szCs w:val="18"/>
          <w:lang w:eastAsia="nl-NL"/>
        </w:rPr>
        <w:t>Netwerkvaardigheid</w:t>
      </w:r>
    </w:p>
    <w:p w:rsidR="005F29C2" w:rsidRDefault="005F03B9" w:rsidP="005F29C2">
      <w:pPr>
        <w:pStyle w:val="Lijstalinea"/>
        <w:numPr>
          <w:ilvl w:val="0"/>
          <w:numId w:val="8"/>
        </w:numPr>
        <w:rPr>
          <w:rFonts w:cs="Arial"/>
          <w:color w:val="262626"/>
          <w:sz w:val="18"/>
          <w:szCs w:val="18"/>
          <w:lang w:eastAsia="nl-NL"/>
        </w:rPr>
      </w:pPr>
      <w:r w:rsidRPr="005F03B9">
        <w:rPr>
          <w:rFonts w:cs="Arial"/>
          <w:color w:val="262626"/>
          <w:sz w:val="18"/>
          <w:szCs w:val="18"/>
          <w:lang w:eastAsia="nl-NL"/>
        </w:rPr>
        <w:t>Effectief beïnvloeden</w:t>
      </w:r>
    </w:p>
    <w:p w:rsidR="005F03B9" w:rsidRPr="005F29C2" w:rsidRDefault="005F03B9" w:rsidP="005F29C2">
      <w:pPr>
        <w:pStyle w:val="Lijstalinea"/>
        <w:numPr>
          <w:ilvl w:val="0"/>
          <w:numId w:val="8"/>
        </w:numPr>
        <w:rPr>
          <w:rFonts w:cs="Arial"/>
          <w:color w:val="262626"/>
          <w:sz w:val="18"/>
          <w:szCs w:val="18"/>
          <w:lang w:eastAsia="nl-NL"/>
        </w:rPr>
      </w:pPr>
      <w:r w:rsidRPr="005F29C2">
        <w:rPr>
          <w:color w:val="262626"/>
          <w:sz w:val="18"/>
          <w:szCs w:val="18"/>
          <w:lang w:eastAsia="nl-NL"/>
        </w:rPr>
        <w:t xml:space="preserve">Uitstekende </w:t>
      </w:r>
      <w:r w:rsidRPr="005F29C2">
        <w:rPr>
          <w:sz w:val="18"/>
          <w:szCs w:val="18"/>
        </w:rPr>
        <w:t>mondelinge en schriftelijke communicatievaardigheden</w:t>
      </w:r>
    </w:p>
    <w:p w:rsidR="005F03B9" w:rsidRDefault="005F03B9">
      <w:pPr>
        <w:rPr>
          <w:sz w:val="18"/>
          <w:szCs w:val="18"/>
        </w:rPr>
      </w:pPr>
    </w:p>
    <w:p w:rsidR="005F29C2" w:rsidRPr="005F29C2" w:rsidRDefault="005F29C2">
      <w:pPr>
        <w:rPr>
          <w:sz w:val="18"/>
          <w:szCs w:val="18"/>
          <w:u w:val="single"/>
        </w:rPr>
      </w:pPr>
      <w:r w:rsidRPr="005F29C2">
        <w:rPr>
          <w:sz w:val="18"/>
          <w:szCs w:val="18"/>
          <w:u w:val="single"/>
        </w:rPr>
        <w:t>Overig:</w:t>
      </w:r>
    </w:p>
    <w:p w:rsidR="005F29C2" w:rsidRPr="005F29C2" w:rsidRDefault="005F29C2" w:rsidP="005F29C2">
      <w:pPr>
        <w:rPr>
          <w:rFonts w:cs="Arial"/>
          <w:sz w:val="18"/>
          <w:szCs w:val="18"/>
        </w:rPr>
      </w:pPr>
      <w:r w:rsidRPr="005F29C2">
        <w:rPr>
          <w:rFonts w:cs="Arial"/>
          <w:sz w:val="18"/>
          <w:szCs w:val="18"/>
        </w:rPr>
        <w:t>De functie van analist is een vertrouwensfunctie waarvoor een aantal specifieke betrouwbaarheids- en geheimhoudingswaarbogen van toepassing zijn zoals een VOG en een uitgebreid screeningsonderzoek door de politie.</w:t>
      </w:r>
    </w:p>
    <w:p w:rsidR="005F29C2" w:rsidRPr="005F29C2" w:rsidRDefault="005F29C2" w:rsidP="005F29C2">
      <w:pPr>
        <w:rPr>
          <w:rFonts w:cs="Arial"/>
          <w:sz w:val="18"/>
          <w:szCs w:val="18"/>
        </w:rPr>
      </w:pPr>
    </w:p>
    <w:p w:rsidR="005F29C2" w:rsidRPr="005F03B9" w:rsidRDefault="005F29C2">
      <w:pPr>
        <w:rPr>
          <w:sz w:val="18"/>
          <w:szCs w:val="18"/>
        </w:rPr>
      </w:pPr>
    </w:p>
    <w:sectPr w:rsidR="005F29C2" w:rsidRPr="005F03B9" w:rsidSect="003E1659">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277CF"/>
    <w:multiLevelType w:val="hybridMultilevel"/>
    <w:tmpl w:val="67161208"/>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A2279A"/>
    <w:multiLevelType w:val="hybridMultilevel"/>
    <w:tmpl w:val="5F7EEE84"/>
    <w:lvl w:ilvl="0" w:tplc="C4D805FE">
      <w:start w:val="300"/>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6E37EB3"/>
    <w:multiLevelType w:val="hybridMultilevel"/>
    <w:tmpl w:val="289A22B8"/>
    <w:lvl w:ilvl="0" w:tplc="F046599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700723"/>
    <w:multiLevelType w:val="hybridMultilevel"/>
    <w:tmpl w:val="ED22D5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3C51393"/>
    <w:multiLevelType w:val="hybridMultilevel"/>
    <w:tmpl w:val="4D16B3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6930F57"/>
    <w:multiLevelType w:val="hybridMultilevel"/>
    <w:tmpl w:val="7AC8E8EE"/>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5F160969"/>
    <w:multiLevelType w:val="hybridMultilevel"/>
    <w:tmpl w:val="82D45D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A57539A"/>
    <w:multiLevelType w:val="hybridMultilevel"/>
    <w:tmpl w:val="4A3671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7E"/>
    <w:rsid w:val="0000207E"/>
    <w:rsid w:val="0003261E"/>
    <w:rsid w:val="00036BCB"/>
    <w:rsid w:val="000521A8"/>
    <w:rsid w:val="000575B7"/>
    <w:rsid w:val="000720A5"/>
    <w:rsid w:val="001537D1"/>
    <w:rsid w:val="00154545"/>
    <w:rsid w:val="00170002"/>
    <w:rsid w:val="001B7351"/>
    <w:rsid w:val="001E3C72"/>
    <w:rsid w:val="001F5CCB"/>
    <w:rsid w:val="00233F96"/>
    <w:rsid w:val="00280E63"/>
    <w:rsid w:val="002D4E03"/>
    <w:rsid w:val="002F53B5"/>
    <w:rsid w:val="00313C1D"/>
    <w:rsid w:val="00314FA9"/>
    <w:rsid w:val="003B6BC4"/>
    <w:rsid w:val="003C7130"/>
    <w:rsid w:val="003E1659"/>
    <w:rsid w:val="003F5FF6"/>
    <w:rsid w:val="004320B3"/>
    <w:rsid w:val="00456565"/>
    <w:rsid w:val="004C67E0"/>
    <w:rsid w:val="004E3FDC"/>
    <w:rsid w:val="00547807"/>
    <w:rsid w:val="00573562"/>
    <w:rsid w:val="00590BA9"/>
    <w:rsid w:val="005B4276"/>
    <w:rsid w:val="005F03B9"/>
    <w:rsid w:val="005F29C2"/>
    <w:rsid w:val="0060780C"/>
    <w:rsid w:val="00627490"/>
    <w:rsid w:val="00654DA4"/>
    <w:rsid w:val="006633D6"/>
    <w:rsid w:val="00665F66"/>
    <w:rsid w:val="006C18D9"/>
    <w:rsid w:val="006F13F7"/>
    <w:rsid w:val="00733D49"/>
    <w:rsid w:val="00786AA8"/>
    <w:rsid w:val="00790183"/>
    <w:rsid w:val="007A29EF"/>
    <w:rsid w:val="007D4B82"/>
    <w:rsid w:val="007E33AD"/>
    <w:rsid w:val="0088666D"/>
    <w:rsid w:val="00896C9C"/>
    <w:rsid w:val="008D2392"/>
    <w:rsid w:val="008D2AE3"/>
    <w:rsid w:val="008E339B"/>
    <w:rsid w:val="008F2CFD"/>
    <w:rsid w:val="00925523"/>
    <w:rsid w:val="009679C9"/>
    <w:rsid w:val="009720EF"/>
    <w:rsid w:val="00997D90"/>
    <w:rsid w:val="009A1DDC"/>
    <w:rsid w:val="009B1E3B"/>
    <w:rsid w:val="00A17C50"/>
    <w:rsid w:val="00A550A9"/>
    <w:rsid w:val="00A56601"/>
    <w:rsid w:val="00A60DE3"/>
    <w:rsid w:val="00A7247F"/>
    <w:rsid w:val="00A92426"/>
    <w:rsid w:val="00AB338B"/>
    <w:rsid w:val="00AD50EC"/>
    <w:rsid w:val="00AD561C"/>
    <w:rsid w:val="00AD6F3F"/>
    <w:rsid w:val="00B1283A"/>
    <w:rsid w:val="00B17E6F"/>
    <w:rsid w:val="00B40565"/>
    <w:rsid w:val="00B63C29"/>
    <w:rsid w:val="00B66FA3"/>
    <w:rsid w:val="00B816DF"/>
    <w:rsid w:val="00BB4405"/>
    <w:rsid w:val="00BD5C95"/>
    <w:rsid w:val="00C9393B"/>
    <w:rsid w:val="00CA6795"/>
    <w:rsid w:val="00CC3B2B"/>
    <w:rsid w:val="00D35925"/>
    <w:rsid w:val="00D51C2C"/>
    <w:rsid w:val="00D52504"/>
    <w:rsid w:val="00D7313A"/>
    <w:rsid w:val="00DA772A"/>
    <w:rsid w:val="00DD7F3F"/>
    <w:rsid w:val="00E82F96"/>
    <w:rsid w:val="00E928F2"/>
    <w:rsid w:val="00E95CE1"/>
    <w:rsid w:val="00F153D4"/>
    <w:rsid w:val="00F66D2A"/>
    <w:rsid w:val="00F732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C4FB2-EE7E-49D5-AE58-502196B5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0207E"/>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qFormat/>
    <w:rsid w:val="0000207E"/>
    <w:pPr>
      <w:spacing w:after="0" w:line="240" w:lineRule="auto"/>
    </w:pPr>
    <w:rPr>
      <w:rFonts w:ascii="Calibri" w:eastAsia="ヒラギノ角ゴ Pro W3" w:hAnsi="Calibri" w:cs="Times New Roman"/>
      <w:color w:val="000000"/>
      <w:szCs w:val="20"/>
      <w:lang w:eastAsia="nl-NL"/>
    </w:rPr>
  </w:style>
  <w:style w:type="paragraph" w:styleId="Lijstalinea">
    <w:name w:val="List Paragraph"/>
    <w:basedOn w:val="Standaard"/>
    <w:uiPriority w:val="34"/>
    <w:qFormat/>
    <w:rsid w:val="0000207E"/>
    <w:pPr>
      <w:spacing w:after="0" w:line="240" w:lineRule="auto"/>
      <w:ind w:left="720"/>
    </w:pPr>
    <w:rPr>
      <w:rFonts w:ascii="Calibri" w:hAnsi="Calibri" w:cs="Times New Roman"/>
    </w:rPr>
  </w:style>
  <w:style w:type="character" w:styleId="Hyperlink">
    <w:name w:val="Hyperlink"/>
    <w:basedOn w:val="Standaardalinea-lettertype"/>
    <w:uiPriority w:val="99"/>
    <w:unhideWhenUsed/>
    <w:rsid w:val="005F03B9"/>
    <w:rPr>
      <w:color w:val="0563C1" w:themeColor="hyperlink"/>
      <w:u w:val="single"/>
    </w:rPr>
  </w:style>
  <w:style w:type="paragraph" w:styleId="Plattetekst2">
    <w:name w:val="Body Text 2"/>
    <w:basedOn w:val="Standaard"/>
    <w:link w:val="Plattetekst2Char"/>
    <w:rsid w:val="005F03B9"/>
    <w:pPr>
      <w:spacing w:after="0" w:line="240" w:lineRule="auto"/>
    </w:pPr>
    <w:rPr>
      <w:rFonts w:ascii="Arial" w:eastAsia="Times New Roman" w:hAnsi="Arial" w:cs="Times New Roman"/>
      <w:sz w:val="18"/>
      <w:szCs w:val="20"/>
      <w:lang w:eastAsia="nl-NL"/>
    </w:rPr>
  </w:style>
  <w:style w:type="character" w:customStyle="1" w:styleId="Plattetekst2Char">
    <w:name w:val="Platte tekst 2 Char"/>
    <w:basedOn w:val="Standaardalinea-lettertype"/>
    <w:link w:val="Plattetekst2"/>
    <w:rsid w:val="005F03B9"/>
    <w:rPr>
      <w:rFonts w:ascii="Arial" w:eastAsia="Times New Roman" w:hAnsi="Arial" w:cs="Times New Roman"/>
      <w:sz w:val="18"/>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8B885835</Template>
  <TotalTime>1</TotalTime>
  <Pages>2</Pages>
  <Words>641</Words>
  <Characters>3527</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B. (Bob)</dc:creator>
  <cp:keywords/>
  <dc:description/>
  <cp:lastModifiedBy>Sewnarain W. (Wiendra)</cp:lastModifiedBy>
  <cp:revision>2</cp:revision>
  <dcterms:created xsi:type="dcterms:W3CDTF">2017-10-10T10:51:00Z</dcterms:created>
  <dcterms:modified xsi:type="dcterms:W3CDTF">2017-10-10T10:51:00Z</dcterms:modified>
</cp:coreProperties>
</file>