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C121"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b/>
          <w:bCs/>
          <w:color w:val="0070C0"/>
          <w:sz w:val="22"/>
          <w:szCs w:val="20"/>
          <w:lang w:eastAsia="nl-NL"/>
        </w:rPr>
        <w:t>OPDRACHT OMSCHRIJVING KPDH VASTGOED</w:t>
      </w:r>
    </w:p>
    <w:p w14:paraId="1BDDF737"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b/>
          <w:bCs/>
          <w:color w:val="212121"/>
          <w:sz w:val="22"/>
          <w:szCs w:val="20"/>
          <w:lang w:eastAsia="nl-NL"/>
        </w:rPr>
        <w:t> </w:t>
      </w:r>
    </w:p>
    <w:p w14:paraId="2D61C5EF"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b/>
          <w:bCs/>
          <w:color w:val="212121"/>
          <w:sz w:val="22"/>
          <w:szCs w:val="20"/>
          <w:lang w:eastAsia="nl-NL"/>
        </w:rPr>
        <w:t>De afdeling Vastgoed</w:t>
      </w:r>
    </w:p>
    <w:p w14:paraId="1AF32A35"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color w:val="212121"/>
          <w:sz w:val="22"/>
          <w:szCs w:val="20"/>
          <w:lang w:eastAsia="nl-NL"/>
        </w:rPr>
        <w:t>De afdeling Vastgoed valt in de nieuwe organisatie Stadontwikkeling onder de directie REO. De directie REO heeft als aandachtsgebied de Ruimtelijke Economische Ontwikkeling van de stad Rotterdam. Zij stelt hiervoor de kaders, faciliteert marktpartijen en initieert daar waar dit nodig is. Als onderdeel van de directie REO draagt de afdeling Vastgoed zorg voor waarde behoud en inzet van Vastgoed in gewenste ontwikkelingen.</w:t>
      </w:r>
    </w:p>
    <w:p w14:paraId="7DA6F88F"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color w:val="212121"/>
          <w:sz w:val="22"/>
          <w:szCs w:val="20"/>
          <w:lang w:eastAsia="nl-NL"/>
        </w:rPr>
        <w:t> </w:t>
      </w:r>
    </w:p>
    <w:p w14:paraId="099A86D4"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color w:val="212121"/>
          <w:sz w:val="22"/>
          <w:szCs w:val="20"/>
          <w:lang w:eastAsia="nl-NL"/>
        </w:rPr>
        <w:t>De afdeling Vastgoed vervult daarin de rol van eigenaar van al het gemeentelijk vastgoed. Vanuit deze rol exploiteert de afdeling de gemeentelijke vastgoedportefeuille op professionele wijze, zorgt voor de kwaliteit van de objecten en (her)ontwikkelt gebouwen.</w:t>
      </w:r>
    </w:p>
    <w:p w14:paraId="5F7D17DB" w14:textId="682F00C2" w:rsidR="00310537" w:rsidRPr="00AC5CFB" w:rsidRDefault="00310537" w:rsidP="00310537">
      <w:pPr>
        <w:rPr>
          <w:rFonts w:ascii="Tahoma" w:hAnsi="Tahoma" w:cs="Tahoma"/>
          <w:color w:val="212121"/>
          <w:sz w:val="22"/>
          <w:szCs w:val="20"/>
          <w:lang w:eastAsia="nl-NL"/>
        </w:rPr>
      </w:pPr>
      <w:r w:rsidRPr="00310537">
        <w:rPr>
          <w:rFonts w:ascii="Tahoma" w:hAnsi="Tahoma" w:cs="Tahoma"/>
          <w:b/>
          <w:bCs/>
          <w:color w:val="212121"/>
          <w:sz w:val="22"/>
          <w:szCs w:val="20"/>
          <w:lang w:eastAsia="nl-NL"/>
        </w:rPr>
        <w:t> </w:t>
      </w:r>
    </w:p>
    <w:p w14:paraId="5D092544" w14:textId="77777777" w:rsidR="00310537" w:rsidRPr="00AC5CFB" w:rsidRDefault="00310537" w:rsidP="00310537">
      <w:pPr>
        <w:rPr>
          <w:rFonts w:ascii="Tahoma" w:hAnsi="Tahoma" w:cs="Tahoma"/>
          <w:b/>
          <w:color w:val="212121"/>
          <w:sz w:val="22"/>
          <w:szCs w:val="20"/>
          <w:lang w:eastAsia="nl-NL"/>
        </w:rPr>
      </w:pPr>
      <w:r w:rsidRPr="00AC5CFB">
        <w:rPr>
          <w:rFonts w:ascii="Tahoma" w:hAnsi="Tahoma" w:cs="Tahoma"/>
          <w:b/>
          <w:color w:val="212121"/>
          <w:sz w:val="22"/>
          <w:szCs w:val="20"/>
          <w:lang w:eastAsia="nl-NL"/>
        </w:rPr>
        <w:t>Doelstelling:</w:t>
      </w:r>
    </w:p>
    <w:p w14:paraId="42E79372" w14:textId="77777777" w:rsidR="00310537" w:rsidRPr="00AC5CFB" w:rsidRDefault="00310537" w:rsidP="00310537">
      <w:pPr>
        <w:rPr>
          <w:rFonts w:ascii="Tahoma" w:hAnsi="Tahoma" w:cs="Tahoma"/>
          <w:color w:val="212121"/>
          <w:sz w:val="22"/>
          <w:szCs w:val="20"/>
          <w:lang w:eastAsia="nl-NL"/>
        </w:rPr>
      </w:pPr>
      <w:r w:rsidRPr="00AC5CFB">
        <w:rPr>
          <w:rFonts w:ascii="Tahoma" w:hAnsi="Tahoma" w:cs="Tahoma"/>
          <w:color w:val="212121"/>
          <w:sz w:val="22"/>
          <w:szCs w:val="20"/>
          <w:lang w:eastAsia="nl-NL"/>
        </w:rPr>
        <w:t xml:space="preserve">Het vaststellen van de mate van </w:t>
      </w:r>
      <w:proofErr w:type="spellStart"/>
      <w:r w:rsidRPr="00AC5CFB">
        <w:rPr>
          <w:rFonts w:ascii="Tahoma" w:hAnsi="Tahoma" w:cs="Tahoma"/>
          <w:color w:val="212121"/>
          <w:sz w:val="22"/>
          <w:szCs w:val="20"/>
          <w:lang w:eastAsia="nl-NL"/>
        </w:rPr>
        <w:t>kostprijsdekkendheid</w:t>
      </w:r>
      <w:proofErr w:type="spellEnd"/>
      <w:r w:rsidRPr="00AC5CFB">
        <w:rPr>
          <w:rFonts w:ascii="Tahoma" w:hAnsi="Tahoma" w:cs="Tahoma"/>
          <w:color w:val="212121"/>
          <w:sz w:val="22"/>
          <w:szCs w:val="20"/>
          <w:lang w:eastAsia="nl-NL"/>
        </w:rPr>
        <w:t xml:space="preserve"> van de huurprijzen voor het maatschappelijke Vastgoed van de Gemeente.</w:t>
      </w:r>
    </w:p>
    <w:p w14:paraId="49104BEA" w14:textId="77777777" w:rsidR="00310537" w:rsidRPr="00AC5CFB" w:rsidRDefault="00310537" w:rsidP="00310537">
      <w:pPr>
        <w:rPr>
          <w:rFonts w:ascii="Tahoma" w:hAnsi="Tahoma" w:cs="Tahoma"/>
          <w:color w:val="212121"/>
          <w:sz w:val="22"/>
          <w:szCs w:val="20"/>
          <w:lang w:eastAsia="nl-NL"/>
        </w:rPr>
      </w:pPr>
    </w:p>
    <w:p w14:paraId="113D1F23" w14:textId="77777777" w:rsidR="00310537" w:rsidRPr="00AC5CFB" w:rsidRDefault="00310537" w:rsidP="00310537">
      <w:pPr>
        <w:rPr>
          <w:rFonts w:ascii="Tahoma" w:hAnsi="Tahoma" w:cs="Tahoma"/>
          <w:b/>
          <w:color w:val="212121"/>
          <w:sz w:val="22"/>
          <w:szCs w:val="20"/>
          <w:lang w:eastAsia="nl-NL"/>
        </w:rPr>
      </w:pPr>
      <w:r w:rsidRPr="00AC5CFB">
        <w:rPr>
          <w:rFonts w:ascii="Tahoma" w:hAnsi="Tahoma" w:cs="Tahoma"/>
          <w:b/>
          <w:color w:val="212121"/>
          <w:sz w:val="22"/>
          <w:szCs w:val="20"/>
          <w:lang w:eastAsia="nl-NL"/>
        </w:rPr>
        <w:t>Scope:</w:t>
      </w:r>
    </w:p>
    <w:p w14:paraId="70E02DFF" w14:textId="77777777" w:rsidR="00310537" w:rsidRPr="00310537" w:rsidRDefault="00310537" w:rsidP="00310537">
      <w:pPr>
        <w:rPr>
          <w:rFonts w:ascii="Tahoma" w:hAnsi="Tahoma" w:cs="Tahoma"/>
          <w:color w:val="212121"/>
          <w:sz w:val="22"/>
          <w:szCs w:val="20"/>
          <w:lang w:eastAsia="nl-NL"/>
        </w:rPr>
      </w:pPr>
      <w:r w:rsidRPr="00AC5CFB">
        <w:rPr>
          <w:rFonts w:ascii="Tahoma" w:hAnsi="Tahoma" w:cs="Tahoma"/>
          <w:color w:val="212121"/>
          <w:sz w:val="22"/>
          <w:szCs w:val="20"/>
          <w:lang w:eastAsia="nl-NL"/>
        </w:rPr>
        <w:t>Maatschappelijk</w:t>
      </w:r>
      <w:r w:rsidR="0093709E" w:rsidRPr="00AC5CFB">
        <w:rPr>
          <w:rFonts w:ascii="Tahoma" w:hAnsi="Tahoma" w:cs="Tahoma"/>
          <w:color w:val="212121"/>
          <w:sz w:val="22"/>
          <w:szCs w:val="20"/>
          <w:lang w:eastAsia="nl-NL"/>
        </w:rPr>
        <w:t>e</w:t>
      </w:r>
      <w:r w:rsidRPr="00AC5CFB">
        <w:rPr>
          <w:rFonts w:ascii="Tahoma" w:hAnsi="Tahoma" w:cs="Tahoma"/>
          <w:color w:val="212121"/>
          <w:sz w:val="22"/>
          <w:szCs w:val="20"/>
          <w:lang w:eastAsia="nl-NL"/>
        </w:rPr>
        <w:t xml:space="preserve"> Vastgoed objecten</w:t>
      </w:r>
      <w:r w:rsidR="0093709E" w:rsidRPr="00AC5CFB">
        <w:rPr>
          <w:rFonts w:ascii="Tahoma" w:hAnsi="Tahoma" w:cs="Tahoma"/>
          <w:color w:val="212121"/>
          <w:sz w:val="22"/>
          <w:szCs w:val="20"/>
          <w:lang w:eastAsia="nl-NL"/>
        </w:rPr>
        <w:t xml:space="preserve"> in beheer bij Vastgoed Rotterdam</w:t>
      </w:r>
      <w:r w:rsidRPr="00AC5CFB">
        <w:rPr>
          <w:rFonts w:ascii="Tahoma" w:hAnsi="Tahoma" w:cs="Tahoma"/>
          <w:color w:val="212121"/>
          <w:sz w:val="22"/>
          <w:szCs w:val="20"/>
          <w:lang w:eastAsia="nl-NL"/>
        </w:rPr>
        <w:t>.</w:t>
      </w:r>
    </w:p>
    <w:p w14:paraId="635176E3"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color w:val="212121"/>
          <w:sz w:val="22"/>
          <w:szCs w:val="20"/>
          <w:lang w:eastAsia="nl-NL"/>
        </w:rPr>
        <w:t> </w:t>
      </w:r>
    </w:p>
    <w:p w14:paraId="474AC7FE" w14:textId="77777777" w:rsidR="00310537" w:rsidRPr="00310537" w:rsidRDefault="00310537" w:rsidP="00310537">
      <w:pPr>
        <w:rPr>
          <w:rFonts w:ascii="Tahoma" w:hAnsi="Tahoma" w:cs="Tahoma"/>
          <w:color w:val="212121"/>
          <w:sz w:val="22"/>
          <w:szCs w:val="20"/>
          <w:lang w:eastAsia="nl-NL"/>
        </w:rPr>
      </w:pPr>
      <w:r w:rsidRPr="00310537">
        <w:rPr>
          <w:rFonts w:ascii="Tahoma" w:hAnsi="Tahoma" w:cs="Tahoma"/>
          <w:b/>
          <w:bCs/>
          <w:color w:val="212121"/>
          <w:sz w:val="22"/>
          <w:szCs w:val="20"/>
          <w:lang w:eastAsia="nl-NL"/>
        </w:rPr>
        <w:t>Resultaten:</w:t>
      </w:r>
    </w:p>
    <w:p w14:paraId="1AE739D6"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Integraal overzicht van de huurprijsberekeningen</w:t>
      </w:r>
      <w:r w:rsidR="0093709E" w:rsidRPr="00AC5CFB">
        <w:rPr>
          <w:rFonts w:ascii="Tahoma" w:hAnsi="Tahoma" w:cs="Tahoma"/>
          <w:sz w:val="22"/>
          <w:szCs w:val="20"/>
        </w:rPr>
        <w:t xml:space="preserve"> van het maatschappelijke Vastgoed</w:t>
      </w:r>
      <w:r w:rsidRPr="00310537">
        <w:rPr>
          <w:rFonts w:ascii="Tahoma" w:hAnsi="Tahoma" w:cs="Tahoma"/>
          <w:sz w:val="22"/>
          <w:szCs w:val="20"/>
        </w:rPr>
        <w:t>;</w:t>
      </w:r>
    </w:p>
    <w:p w14:paraId="33A2830F"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Analyse van de gerealiseerde lasten t.o.v. de in rekening gebrachte huurprijzen;</w:t>
      </w:r>
    </w:p>
    <w:p w14:paraId="7C8AB8C0" w14:textId="77777777" w:rsidR="00310537" w:rsidRPr="00310537" w:rsidRDefault="00310537" w:rsidP="00AC5CFB">
      <w:pPr>
        <w:pStyle w:val="Lijstalinea"/>
        <w:numPr>
          <w:ilvl w:val="0"/>
          <w:numId w:val="4"/>
        </w:numPr>
        <w:rPr>
          <w:rFonts w:ascii="Tahoma" w:hAnsi="Tahoma" w:cs="Tahoma"/>
          <w:color w:val="212121"/>
          <w:sz w:val="22"/>
          <w:szCs w:val="20"/>
        </w:rPr>
      </w:pPr>
      <w:r w:rsidRPr="00310537">
        <w:rPr>
          <w:rFonts w:ascii="Tahoma" w:hAnsi="Tahoma" w:cs="Tahoma"/>
          <w:sz w:val="22"/>
          <w:szCs w:val="20"/>
        </w:rPr>
        <w:t>Eindrapport</w:t>
      </w:r>
      <w:r w:rsidRPr="00310537">
        <w:rPr>
          <w:rFonts w:ascii="Tahoma" w:hAnsi="Tahoma" w:cs="Tahoma"/>
          <w:color w:val="212121"/>
          <w:sz w:val="22"/>
          <w:szCs w:val="20"/>
        </w:rPr>
        <w:t>, incl. probleemanalyse en oplossingsrichtingen.</w:t>
      </w:r>
    </w:p>
    <w:p w14:paraId="77871536" w14:textId="6E9BF940" w:rsidR="002252A8" w:rsidRPr="002252A8" w:rsidRDefault="002252A8" w:rsidP="00310537">
      <w:pPr>
        <w:rPr>
          <w:rFonts w:ascii="Tahoma" w:hAnsi="Tahoma" w:cs="Tahoma"/>
          <w:b/>
          <w:color w:val="212121"/>
          <w:sz w:val="22"/>
          <w:szCs w:val="20"/>
          <w:lang w:eastAsia="nl-NL"/>
        </w:rPr>
      </w:pPr>
      <w:r w:rsidRPr="002252A8">
        <w:rPr>
          <w:rFonts w:ascii="Tahoma" w:hAnsi="Tahoma" w:cs="Tahoma"/>
          <w:b/>
          <w:color w:val="212121"/>
          <w:sz w:val="22"/>
          <w:szCs w:val="20"/>
          <w:lang w:eastAsia="nl-NL"/>
        </w:rPr>
        <w:t>Uitvoeringseisen:</w:t>
      </w:r>
    </w:p>
    <w:p w14:paraId="7AF5D4CC" w14:textId="6013B1E1" w:rsidR="002252A8" w:rsidRDefault="002252A8" w:rsidP="002252A8">
      <w:pPr>
        <w:pStyle w:val="Lijstalinea"/>
        <w:numPr>
          <w:ilvl w:val="0"/>
          <w:numId w:val="4"/>
        </w:numPr>
        <w:rPr>
          <w:rFonts w:ascii="Tahoma" w:hAnsi="Tahoma" w:cs="Tahoma"/>
          <w:sz w:val="22"/>
          <w:szCs w:val="20"/>
        </w:rPr>
      </w:pPr>
      <w:r>
        <w:rPr>
          <w:rFonts w:ascii="Tahoma" w:hAnsi="Tahoma" w:cs="Tahoma"/>
          <w:sz w:val="22"/>
          <w:szCs w:val="20"/>
        </w:rPr>
        <w:t>Kwaliteit van de analyses wordt getoetst door de Vastgoed kwaliteitsmanager en Business Control</w:t>
      </w:r>
    </w:p>
    <w:p w14:paraId="4D365F67" w14:textId="6A313AA0" w:rsidR="002252A8" w:rsidRPr="002252A8" w:rsidRDefault="002252A8" w:rsidP="00310537">
      <w:pPr>
        <w:pStyle w:val="Lijstalinea"/>
        <w:numPr>
          <w:ilvl w:val="0"/>
          <w:numId w:val="4"/>
        </w:numPr>
        <w:rPr>
          <w:rFonts w:ascii="Tahoma" w:hAnsi="Tahoma" w:cs="Tahoma"/>
          <w:sz w:val="22"/>
          <w:szCs w:val="20"/>
        </w:rPr>
      </w:pPr>
      <w:r>
        <w:rPr>
          <w:rFonts w:ascii="Tahoma" w:hAnsi="Tahoma" w:cs="Tahoma"/>
          <w:sz w:val="22"/>
          <w:szCs w:val="20"/>
        </w:rPr>
        <w:t>Kwaliteit van de tussen/eind presentatie wordt getoetst door de Teamleider Stedelijk Team</w:t>
      </w:r>
    </w:p>
    <w:p w14:paraId="292A56B2" w14:textId="77777777" w:rsidR="00AC5CFB" w:rsidRPr="00AC5CFB" w:rsidRDefault="007F260B" w:rsidP="00310537">
      <w:pPr>
        <w:rPr>
          <w:rFonts w:ascii="Tahoma" w:hAnsi="Tahoma" w:cs="Tahoma"/>
          <w:b/>
          <w:bCs/>
          <w:color w:val="212121"/>
          <w:sz w:val="22"/>
          <w:szCs w:val="20"/>
          <w:lang w:eastAsia="nl-NL"/>
        </w:rPr>
      </w:pPr>
      <w:r w:rsidRPr="00AC5CFB">
        <w:rPr>
          <w:rFonts w:ascii="Tahoma" w:hAnsi="Tahoma" w:cs="Tahoma"/>
          <w:b/>
          <w:bCs/>
          <w:color w:val="212121"/>
          <w:sz w:val="22"/>
          <w:szCs w:val="20"/>
          <w:lang w:eastAsia="nl-NL"/>
        </w:rPr>
        <w:t>Randvoorwaarden</w:t>
      </w:r>
    </w:p>
    <w:p w14:paraId="584CC3E7" w14:textId="77777777" w:rsidR="00AC5CFB" w:rsidRPr="00AC5CFB" w:rsidRDefault="00AC5CFB" w:rsidP="00AC5CFB">
      <w:pPr>
        <w:pStyle w:val="Lijstalinea"/>
        <w:numPr>
          <w:ilvl w:val="0"/>
          <w:numId w:val="4"/>
        </w:numPr>
        <w:rPr>
          <w:rFonts w:ascii="Tahoma" w:hAnsi="Tahoma" w:cs="Tahoma"/>
          <w:sz w:val="22"/>
          <w:szCs w:val="20"/>
        </w:rPr>
      </w:pPr>
      <w:r w:rsidRPr="00AC5CFB">
        <w:rPr>
          <w:rFonts w:ascii="Tahoma" w:hAnsi="Tahoma" w:cs="Tahoma"/>
          <w:sz w:val="22"/>
          <w:szCs w:val="20"/>
        </w:rPr>
        <w:t xml:space="preserve">Aanwezigheid op locatie </w:t>
      </w:r>
    </w:p>
    <w:p w14:paraId="14045B93" w14:textId="77777777" w:rsidR="00AC5CFB" w:rsidRDefault="00AC5CFB" w:rsidP="00AC5CFB">
      <w:pPr>
        <w:pStyle w:val="Lijstalinea"/>
        <w:numPr>
          <w:ilvl w:val="0"/>
          <w:numId w:val="4"/>
        </w:numPr>
        <w:rPr>
          <w:rFonts w:ascii="Tahoma" w:hAnsi="Tahoma" w:cs="Tahoma"/>
          <w:sz w:val="22"/>
          <w:szCs w:val="20"/>
        </w:rPr>
      </w:pPr>
      <w:r w:rsidRPr="00AC5CFB">
        <w:rPr>
          <w:rFonts w:ascii="Tahoma" w:hAnsi="Tahoma" w:cs="Tahoma"/>
          <w:sz w:val="22"/>
          <w:szCs w:val="20"/>
        </w:rPr>
        <w:t>Minimaal HBO</w:t>
      </w:r>
    </w:p>
    <w:p w14:paraId="0639C40A" w14:textId="77777777" w:rsidR="00310537" w:rsidRPr="00310537" w:rsidRDefault="00AC5CFB" w:rsidP="00310537">
      <w:pPr>
        <w:rPr>
          <w:rFonts w:ascii="Tahoma" w:hAnsi="Tahoma" w:cs="Tahoma"/>
          <w:sz w:val="22"/>
          <w:szCs w:val="20"/>
        </w:rPr>
      </w:pPr>
      <w:r w:rsidRPr="00AC5CFB">
        <w:rPr>
          <w:rFonts w:ascii="Tahoma" w:hAnsi="Tahoma" w:cs="Tahoma"/>
          <w:sz w:val="22"/>
          <w:szCs w:val="20"/>
        </w:rPr>
        <w:t>Daarnaast zijn de o</w:t>
      </w:r>
      <w:r w:rsidR="007F260B" w:rsidRPr="00AC5CFB">
        <w:rPr>
          <w:rFonts w:ascii="Tahoma" w:hAnsi="Tahoma" w:cs="Tahoma"/>
          <w:sz w:val="22"/>
          <w:szCs w:val="20"/>
        </w:rPr>
        <w:t>nderstaande vaardigheden en k</w:t>
      </w:r>
      <w:r w:rsidR="00310537" w:rsidRPr="00AC5CFB">
        <w:rPr>
          <w:rFonts w:ascii="Tahoma" w:hAnsi="Tahoma" w:cs="Tahoma"/>
          <w:sz w:val="22"/>
          <w:szCs w:val="20"/>
        </w:rPr>
        <w:t>ennis</w:t>
      </w:r>
      <w:r w:rsidR="007F260B" w:rsidRPr="00AC5CFB">
        <w:rPr>
          <w:rFonts w:ascii="Tahoma" w:hAnsi="Tahoma" w:cs="Tahoma"/>
          <w:sz w:val="22"/>
          <w:szCs w:val="20"/>
        </w:rPr>
        <w:t xml:space="preserve"> zijn </w:t>
      </w:r>
      <w:proofErr w:type="spellStart"/>
      <w:r w:rsidRPr="00AC5CFB">
        <w:rPr>
          <w:rFonts w:ascii="Tahoma" w:hAnsi="Tahoma" w:cs="Tahoma"/>
          <w:sz w:val="22"/>
          <w:szCs w:val="20"/>
        </w:rPr>
        <w:t>randvoorwaardelijk</w:t>
      </w:r>
      <w:proofErr w:type="spellEnd"/>
      <w:r w:rsidR="00310537" w:rsidRPr="00AC5CFB">
        <w:rPr>
          <w:rFonts w:ascii="Tahoma" w:hAnsi="Tahoma" w:cs="Tahoma"/>
          <w:sz w:val="22"/>
          <w:szCs w:val="20"/>
        </w:rPr>
        <w:t>:</w:t>
      </w:r>
    </w:p>
    <w:p w14:paraId="7122587F"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Vastgoed kennis</w:t>
      </w:r>
    </w:p>
    <w:p w14:paraId="4DA9E810"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Excel vaardigheden (++)</w:t>
      </w:r>
    </w:p>
    <w:p w14:paraId="0A388542"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 xml:space="preserve">Oracle </w:t>
      </w:r>
      <w:r w:rsidR="00AC5CFB" w:rsidRPr="00AC5CFB">
        <w:rPr>
          <w:rFonts w:ascii="Tahoma" w:hAnsi="Tahoma" w:cs="Tahoma"/>
          <w:sz w:val="22"/>
          <w:szCs w:val="20"/>
        </w:rPr>
        <w:t>Fin</w:t>
      </w:r>
    </w:p>
    <w:p w14:paraId="355CE77B" w14:textId="77777777" w:rsidR="00310537" w:rsidRPr="00310537" w:rsidRDefault="00310537" w:rsidP="00AC5CFB">
      <w:pPr>
        <w:pStyle w:val="Lijstalinea"/>
        <w:numPr>
          <w:ilvl w:val="0"/>
          <w:numId w:val="4"/>
        </w:numPr>
        <w:rPr>
          <w:rFonts w:ascii="Tahoma" w:hAnsi="Tahoma" w:cs="Tahoma"/>
          <w:sz w:val="22"/>
          <w:szCs w:val="20"/>
        </w:rPr>
      </w:pPr>
      <w:r w:rsidRPr="00310537">
        <w:rPr>
          <w:rFonts w:ascii="Tahoma" w:hAnsi="Tahoma" w:cs="Tahoma"/>
          <w:sz w:val="22"/>
          <w:szCs w:val="20"/>
        </w:rPr>
        <w:t>Financiële kennis</w:t>
      </w:r>
      <w:r w:rsidR="00AC5CFB" w:rsidRPr="00AC5CFB">
        <w:rPr>
          <w:rFonts w:ascii="Tahoma" w:hAnsi="Tahoma" w:cs="Tahoma"/>
          <w:sz w:val="22"/>
          <w:szCs w:val="20"/>
        </w:rPr>
        <w:t xml:space="preserve"> (grootboek, debiteuren en crediteuren)</w:t>
      </w:r>
    </w:p>
    <w:p w14:paraId="5354533B" w14:textId="5744BA0F" w:rsidR="002B55B7" w:rsidRPr="00A51A0B" w:rsidRDefault="00310537" w:rsidP="00A51A0B">
      <w:pPr>
        <w:pStyle w:val="Lijstalinea"/>
        <w:numPr>
          <w:ilvl w:val="0"/>
          <w:numId w:val="4"/>
        </w:numPr>
        <w:rPr>
          <w:rFonts w:ascii="Tahoma" w:hAnsi="Tahoma" w:cs="Tahoma"/>
          <w:sz w:val="22"/>
          <w:szCs w:val="20"/>
        </w:rPr>
      </w:pPr>
      <w:r w:rsidRPr="00310537">
        <w:rPr>
          <w:rFonts w:ascii="Tahoma" w:hAnsi="Tahoma" w:cs="Tahoma"/>
          <w:sz w:val="22"/>
          <w:szCs w:val="20"/>
        </w:rPr>
        <w:t>IBM Cognos</w:t>
      </w:r>
    </w:p>
    <w:p w14:paraId="448502BF" w14:textId="77777777" w:rsidR="009A21EE" w:rsidRPr="00AC5CFB" w:rsidRDefault="009A21EE">
      <w:pPr>
        <w:rPr>
          <w:rFonts w:ascii="Tahoma" w:hAnsi="Tahoma" w:cs="Tahoma"/>
          <w:sz w:val="22"/>
          <w:szCs w:val="20"/>
        </w:rPr>
      </w:pPr>
    </w:p>
    <w:p w14:paraId="6509D1AD" w14:textId="77777777" w:rsidR="007F260B" w:rsidRPr="00AC5CFB" w:rsidRDefault="007F260B">
      <w:pPr>
        <w:rPr>
          <w:rFonts w:ascii="Tahoma" w:hAnsi="Tahoma" w:cs="Tahoma"/>
          <w:b/>
          <w:sz w:val="22"/>
          <w:szCs w:val="20"/>
        </w:rPr>
      </w:pPr>
      <w:r w:rsidRPr="00AC5CFB">
        <w:rPr>
          <w:rFonts w:ascii="Tahoma" w:hAnsi="Tahoma" w:cs="Tahoma"/>
          <w:b/>
          <w:sz w:val="22"/>
          <w:szCs w:val="20"/>
        </w:rPr>
        <w:t>Budget en oplevering:</w:t>
      </w:r>
    </w:p>
    <w:p w14:paraId="44BDD27B" w14:textId="0753B417" w:rsidR="007F260B" w:rsidRPr="00555438" w:rsidRDefault="007F260B" w:rsidP="007F260B">
      <w:pPr>
        <w:pStyle w:val="Lijstalinea"/>
        <w:numPr>
          <w:ilvl w:val="0"/>
          <w:numId w:val="2"/>
        </w:numPr>
        <w:ind w:left="709"/>
        <w:rPr>
          <w:rFonts w:ascii="Tahoma" w:hAnsi="Tahoma" w:cs="Tahoma"/>
          <w:color w:val="212121"/>
          <w:sz w:val="22"/>
          <w:szCs w:val="22"/>
        </w:rPr>
      </w:pPr>
      <w:r w:rsidRPr="00555438">
        <w:rPr>
          <w:rFonts w:ascii="Tahoma" w:hAnsi="Tahoma" w:cs="Tahoma"/>
          <w:color w:val="212121"/>
          <w:sz w:val="22"/>
          <w:szCs w:val="22"/>
        </w:rPr>
        <w:t xml:space="preserve">Startdatum: </w:t>
      </w:r>
      <w:r w:rsidR="00555438" w:rsidRPr="00555438">
        <w:rPr>
          <w:rFonts w:ascii="Arial" w:hAnsi="Arial" w:cs="Arial"/>
          <w:color w:val="333333"/>
          <w:sz w:val="22"/>
          <w:szCs w:val="22"/>
        </w:rPr>
        <w:t>zsm naar verwachting medio augustus</w:t>
      </w:r>
    </w:p>
    <w:p w14:paraId="4140A375" w14:textId="77777777" w:rsidR="007F260B" w:rsidRPr="00555438" w:rsidRDefault="007F260B" w:rsidP="007F260B">
      <w:pPr>
        <w:pStyle w:val="Lijstalinea"/>
        <w:numPr>
          <w:ilvl w:val="0"/>
          <w:numId w:val="2"/>
        </w:numPr>
        <w:ind w:left="709"/>
        <w:rPr>
          <w:rFonts w:ascii="Tahoma" w:hAnsi="Tahoma" w:cs="Tahoma"/>
          <w:color w:val="212121"/>
          <w:sz w:val="22"/>
          <w:szCs w:val="22"/>
        </w:rPr>
      </w:pPr>
      <w:r w:rsidRPr="00555438">
        <w:rPr>
          <w:rFonts w:ascii="Tahoma" w:hAnsi="Tahoma" w:cs="Tahoma"/>
          <w:color w:val="212121"/>
          <w:sz w:val="22"/>
          <w:szCs w:val="22"/>
        </w:rPr>
        <w:t>Doorlooptijd is vier maanden o.b.v. een 36-urige werkweek</w:t>
      </w:r>
      <w:bookmarkStart w:id="0" w:name="_GoBack"/>
      <w:bookmarkEnd w:id="0"/>
    </w:p>
    <w:p w14:paraId="67CB931F" w14:textId="77777777" w:rsidR="00AC5CFB" w:rsidRPr="00AC5CFB" w:rsidRDefault="007F260B" w:rsidP="00AC5CFB">
      <w:pPr>
        <w:pStyle w:val="Lijstalinea"/>
        <w:numPr>
          <w:ilvl w:val="0"/>
          <w:numId w:val="2"/>
        </w:numPr>
        <w:ind w:left="709"/>
        <w:rPr>
          <w:rFonts w:ascii="Tahoma" w:hAnsi="Tahoma" w:cs="Tahoma"/>
          <w:sz w:val="22"/>
          <w:szCs w:val="20"/>
        </w:rPr>
      </w:pPr>
      <w:r w:rsidRPr="00AC5CFB">
        <w:rPr>
          <w:rFonts w:ascii="Tahoma" w:hAnsi="Tahoma" w:cs="Tahoma"/>
          <w:color w:val="212121"/>
          <w:sz w:val="22"/>
          <w:szCs w:val="20"/>
        </w:rPr>
        <w:lastRenderedPageBreak/>
        <w:t>De resultaten dienen uiterlijk 30 november te worden opgeleverd middels een</w:t>
      </w:r>
      <w:r w:rsidR="00AC5CFB">
        <w:rPr>
          <w:rFonts w:ascii="Tahoma" w:hAnsi="Tahoma" w:cs="Tahoma"/>
          <w:color w:val="212121"/>
          <w:sz w:val="22"/>
          <w:szCs w:val="20"/>
        </w:rPr>
        <w:t xml:space="preserve"> </w:t>
      </w:r>
      <w:r w:rsidRPr="00AC5CFB">
        <w:rPr>
          <w:rFonts w:ascii="Tahoma" w:hAnsi="Tahoma" w:cs="Tahoma"/>
          <w:sz w:val="22"/>
          <w:szCs w:val="20"/>
        </w:rPr>
        <w:t xml:space="preserve">eindrapportage in </w:t>
      </w:r>
      <w:proofErr w:type="spellStart"/>
      <w:r w:rsidRPr="00AC5CFB">
        <w:rPr>
          <w:rFonts w:ascii="Tahoma" w:hAnsi="Tahoma" w:cs="Tahoma"/>
          <w:sz w:val="22"/>
          <w:szCs w:val="20"/>
        </w:rPr>
        <w:t>powerpoint</w:t>
      </w:r>
      <w:proofErr w:type="spellEnd"/>
      <w:r w:rsidRPr="00AC5CFB">
        <w:rPr>
          <w:rFonts w:ascii="Tahoma" w:hAnsi="Tahoma" w:cs="Tahoma"/>
          <w:sz w:val="22"/>
          <w:szCs w:val="20"/>
        </w:rPr>
        <w:t>, incl. de data-analyses die hier ten grondslag aan liggen</w:t>
      </w:r>
    </w:p>
    <w:p w14:paraId="07D80161" w14:textId="77777777" w:rsidR="007F260B" w:rsidRPr="00AC5CFB" w:rsidRDefault="007F260B" w:rsidP="00AC5CFB">
      <w:pPr>
        <w:pStyle w:val="Lijstalinea"/>
        <w:numPr>
          <w:ilvl w:val="0"/>
          <w:numId w:val="2"/>
        </w:numPr>
        <w:ind w:left="709"/>
        <w:rPr>
          <w:rFonts w:ascii="Tahoma" w:hAnsi="Tahoma" w:cs="Tahoma"/>
          <w:sz w:val="22"/>
          <w:szCs w:val="20"/>
        </w:rPr>
      </w:pPr>
      <w:r w:rsidRPr="00AC5CFB">
        <w:rPr>
          <w:rFonts w:ascii="Tahoma" w:hAnsi="Tahoma" w:cs="Tahoma"/>
          <w:sz w:val="22"/>
          <w:szCs w:val="20"/>
        </w:rPr>
        <w:t>Afd. Vastgoed draagt zorg dat de noodzakelijk data en gegevens tijdig worden aangeleverd</w:t>
      </w:r>
      <w:r w:rsidR="00AC5CFB" w:rsidRPr="00AC5CFB">
        <w:rPr>
          <w:rFonts w:ascii="Tahoma" w:hAnsi="Tahoma" w:cs="Tahoma"/>
          <w:sz w:val="22"/>
          <w:szCs w:val="20"/>
        </w:rPr>
        <w:t>.</w:t>
      </w:r>
    </w:p>
    <w:p w14:paraId="04B9960C" w14:textId="77777777" w:rsidR="007F260B" w:rsidRPr="00AC5CFB" w:rsidRDefault="007F260B">
      <w:pPr>
        <w:rPr>
          <w:rFonts w:ascii="Tahoma" w:hAnsi="Tahoma" w:cs="Tahoma"/>
          <w:sz w:val="22"/>
          <w:szCs w:val="20"/>
        </w:rPr>
      </w:pPr>
    </w:p>
    <w:p w14:paraId="5EBDF97D" w14:textId="77777777" w:rsidR="007F260B" w:rsidRPr="00AC5CFB" w:rsidRDefault="007F260B">
      <w:pPr>
        <w:rPr>
          <w:rFonts w:ascii="Tahoma" w:hAnsi="Tahoma" w:cs="Tahoma"/>
          <w:b/>
          <w:sz w:val="22"/>
          <w:szCs w:val="20"/>
        </w:rPr>
      </w:pPr>
      <w:r w:rsidRPr="00AC5CFB">
        <w:rPr>
          <w:rFonts w:ascii="Tahoma" w:hAnsi="Tahoma" w:cs="Tahoma"/>
          <w:b/>
          <w:sz w:val="22"/>
          <w:szCs w:val="20"/>
        </w:rPr>
        <w:t>Bevoegdheden:</w:t>
      </w:r>
    </w:p>
    <w:p w14:paraId="391913EA" w14:textId="77777777" w:rsidR="007F260B" w:rsidRDefault="00AC5CFB" w:rsidP="00AC5CFB">
      <w:pPr>
        <w:pStyle w:val="Lijstalinea"/>
        <w:numPr>
          <w:ilvl w:val="0"/>
          <w:numId w:val="4"/>
        </w:numPr>
        <w:rPr>
          <w:rFonts w:ascii="Tahoma" w:hAnsi="Tahoma" w:cs="Tahoma"/>
          <w:sz w:val="22"/>
          <w:szCs w:val="20"/>
        </w:rPr>
      </w:pPr>
      <w:r>
        <w:rPr>
          <w:rFonts w:ascii="Tahoma" w:hAnsi="Tahoma" w:cs="Tahoma"/>
          <w:sz w:val="22"/>
          <w:szCs w:val="20"/>
        </w:rPr>
        <w:t>Opstellen m</w:t>
      </w:r>
      <w:r w:rsidRPr="00AC5CFB">
        <w:rPr>
          <w:rFonts w:ascii="Tahoma" w:hAnsi="Tahoma" w:cs="Tahoma"/>
          <w:sz w:val="22"/>
          <w:szCs w:val="20"/>
        </w:rPr>
        <w:t>aandelijkse voortgangsrapportage</w:t>
      </w:r>
      <w:r>
        <w:rPr>
          <w:rFonts w:ascii="Tahoma" w:hAnsi="Tahoma" w:cs="Tahoma"/>
          <w:sz w:val="22"/>
          <w:szCs w:val="20"/>
        </w:rPr>
        <w:t>, incl. tijdige escalatie van mogelijke knelpunten</w:t>
      </w:r>
    </w:p>
    <w:p w14:paraId="121DDA3E" w14:textId="77777777" w:rsidR="00AC5CFB" w:rsidRPr="00AC5CFB" w:rsidRDefault="00AC5CFB" w:rsidP="00AC5CFB">
      <w:pPr>
        <w:pStyle w:val="Lijstalinea"/>
        <w:numPr>
          <w:ilvl w:val="0"/>
          <w:numId w:val="4"/>
        </w:numPr>
        <w:rPr>
          <w:rFonts w:ascii="Tahoma" w:hAnsi="Tahoma" w:cs="Tahoma"/>
          <w:sz w:val="22"/>
          <w:szCs w:val="20"/>
        </w:rPr>
      </w:pPr>
      <w:r>
        <w:rPr>
          <w:rFonts w:ascii="Tahoma" w:hAnsi="Tahoma" w:cs="Tahoma"/>
          <w:sz w:val="22"/>
          <w:szCs w:val="20"/>
        </w:rPr>
        <w:t>Organiseren twee-wekelijke voortgangsmeeting</w:t>
      </w:r>
    </w:p>
    <w:p w14:paraId="1E4A3506" w14:textId="77777777" w:rsidR="00AC5CFB" w:rsidRPr="00AC5CFB" w:rsidRDefault="00AC5CFB" w:rsidP="00AC5CFB">
      <w:pPr>
        <w:pStyle w:val="Lijstalinea"/>
        <w:numPr>
          <w:ilvl w:val="0"/>
          <w:numId w:val="4"/>
        </w:numPr>
        <w:rPr>
          <w:rFonts w:ascii="Tahoma" w:hAnsi="Tahoma" w:cs="Tahoma"/>
          <w:sz w:val="22"/>
          <w:szCs w:val="20"/>
        </w:rPr>
      </w:pPr>
      <w:r w:rsidRPr="00AC5CFB">
        <w:rPr>
          <w:rFonts w:ascii="Tahoma" w:hAnsi="Tahoma" w:cs="Tahoma"/>
          <w:sz w:val="22"/>
          <w:szCs w:val="20"/>
        </w:rPr>
        <w:t>Tussenpresentatie met tussentijdse bevindingen</w:t>
      </w:r>
    </w:p>
    <w:p w14:paraId="1FE0D902" w14:textId="77777777" w:rsidR="00AC5CFB" w:rsidRPr="00AC5CFB" w:rsidRDefault="00AC5CFB" w:rsidP="00AC5CFB">
      <w:pPr>
        <w:pStyle w:val="Lijstalinea"/>
        <w:numPr>
          <w:ilvl w:val="0"/>
          <w:numId w:val="4"/>
        </w:numPr>
        <w:rPr>
          <w:rFonts w:ascii="Tahoma" w:hAnsi="Tahoma" w:cs="Tahoma"/>
          <w:sz w:val="22"/>
          <w:szCs w:val="20"/>
        </w:rPr>
      </w:pPr>
      <w:r w:rsidRPr="00AC5CFB">
        <w:rPr>
          <w:rFonts w:ascii="Tahoma" w:hAnsi="Tahoma" w:cs="Tahoma"/>
          <w:sz w:val="22"/>
          <w:szCs w:val="20"/>
        </w:rPr>
        <w:t>Eindpresentatie, waarbij de analyse resultaten en bevindingen worden gepresenteerd</w:t>
      </w:r>
    </w:p>
    <w:sectPr w:rsidR="00AC5CFB" w:rsidRPr="00AC5CFB" w:rsidSect="00FF6A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6EDD"/>
    <w:multiLevelType w:val="hybridMultilevel"/>
    <w:tmpl w:val="B7C49352"/>
    <w:lvl w:ilvl="0" w:tplc="882CAA6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34527"/>
    <w:multiLevelType w:val="hybridMultilevel"/>
    <w:tmpl w:val="5D6A0D42"/>
    <w:lvl w:ilvl="0" w:tplc="882CAA6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B64124"/>
    <w:multiLevelType w:val="hybridMultilevel"/>
    <w:tmpl w:val="84E6DB50"/>
    <w:lvl w:ilvl="0" w:tplc="882CAA62">
      <w:start w:val="1"/>
      <w:numFmt w:val="bullet"/>
      <w:lvlText w:val=""/>
      <w:lvlJc w:val="left"/>
      <w:pPr>
        <w:ind w:left="360" w:hanging="360"/>
      </w:pPr>
      <w:rPr>
        <w:rFonts w:ascii="Symbol" w:hAnsi="Symbol"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F70E92"/>
    <w:multiLevelType w:val="hybridMultilevel"/>
    <w:tmpl w:val="70EA2656"/>
    <w:lvl w:ilvl="0" w:tplc="882CAA6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37"/>
    <w:rsid w:val="002252A8"/>
    <w:rsid w:val="002B55B7"/>
    <w:rsid w:val="00310537"/>
    <w:rsid w:val="004A1419"/>
    <w:rsid w:val="00555438"/>
    <w:rsid w:val="00613F21"/>
    <w:rsid w:val="00627811"/>
    <w:rsid w:val="007032B6"/>
    <w:rsid w:val="007F260B"/>
    <w:rsid w:val="0093709E"/>
    <w:rsid w:val="009564FC"/>
    <w:rsid w:val="009A21EE"/>
    <w:rsid w:val="00A423D3"/>
    <w:rsid w:val="00A51A0B"/>
    <w:rsid w:val="00AC5CFB"/>
    <w:rsid w:val="00C42026"/>
    <w:rsid w:val="00FF6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537"/>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31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624582B4</Template>
  <TotalTime>0</TotalTime>
  <Pages>2</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Demarteau</dc:creator>
  <cp:keywords/>
  <dc:description/>
  <cp:lastModifiedBy>Sewnarain W. (Wiendra)</cp:lastModifiedBy>
  <cp:revision>2</cp:revision>
  <dcterms:created xsi:type="dcterms:W3CDTF">2017-08-01T09:03:00Z</dcterms:created>
  <dcterms:modified xsi:type="dcterms:W3CDTF">2017-08-01T09:03:00Z</dcterms:modified>
</cp:coreProperties>
</file>