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B63C" w14:textId="77777777" w:rsidR="00E9048A" w:rsidRDefault="00E9048A" w:rsidP="00435A35">
      <w:pPr>
        <w:widowControl/>
        <w:adjustRightInd/>
        <w:spacing w:line="240" w:lineRule="auto"/>
      </w:pPr>
    </w:p>
    <w:p w14:paraId="64CE0345"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4E878AEE" w14:textId="77777777" w:rsidTr="005601F1">
        <w:tc>
          <w:tcPr>
            <w:tcW w:w="9639" w:type="dxa"/>
          </w:tcPr>
          <w:p w14:paraId="4E606859"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639008F4" w14:textId="77777777" w:rsidR="005601F1" w:rsidRPr="0081480A" w:rsidRDefault="005601F1" w:rsidP="00435A35">
            <w:pPr>
              <w:jc w:val="center"/>
              <w:rPr>
                <w:rFonts w:cs="Arial"/>
                <w:b/>
                <w:sz w:val="26"/>
                <w:szCs w:val="26"/>
              </w:rPr>
            </w:pPr>
          </w:p>
          <w:p w14:paraId="27B464B0" w14:textId="77777777" w:rsidR="005601F1" w:rsidRPr="0081480A" w:rsidRDefault="005601F1" w:rsidP="00435A35">
            <w:pPr>
              <w:rPr>
                <w:rFonts w:cs="Arial"/>
                <w:sz w:val="26"/>
                <w:szCs w:val="26"/>
                <w:lang w:eastAsia="de-DE"/>
              </w:rPr>
            </w:pPr>
          </w:p>
        </w:tc>
      </w:tr>
      <w:tr w:rsidR="005601F1" w:rsidRPr="00A752E3" w14:paraId="0F8A2725" w14:textId="77777777" w:rsidTr="005601F1">
        <w:tc>
          <w:tcPr>
            <w:tcW w:w="9639" w:type="dxa"/>
          </w:tcPr>
          <w:p w14:paraId="40E9A1E1"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5DF41146" w14:textId="77777777" w:rsidR="005601F1" w:rsidRPr="00897DD6" w:rsidRDefault="005601F1" w:rsidP="00435A35">
            <w:pPr>
              <w:widowControl/>
              <w:adjustRightInd/>
              <w:spacing w:after="120" w:line="260" w:lineRule="atLeast"/>
              <w:jc w:val="center"/>
              <w:rPr>
                <w:rFonts w:cs="Arial"/>
                <w:lang w:eastAsia="de-DE"/>
              </w:rPr>
            </w:pPr>
          </w:p>
          <w:p w14:paraId="774790C7" w14:textId="77777777" w:rsidR="005601F1" w:rsidRPr="00A752E3" w:rsidRDefault="005601F1" w:rsidP="00435A35">
            <w:pPr>
              <w:rPr>
                <w:rFonts w:cs="Arial"/>
                <w:lang w:eastAsia="de-DE"/>
              </w:rPr>
            </w:pPr>
          </w:p>
        </w:tc>
      </w:tr>
      <w:tr w:rsidR="005601F1" w:rsidRPr="005601F1" w14:paraId="34EC7DB5" w14:textId="77777777" w:rsidTr="005601F1">
        <w:trPr>
          <w:trHeight w:val="20"/>
        </w:trPr>
        <w:tc>
          <w:tcPr>
            <w:tcW w:w="9639" w:type="dxa"/>
          </w:tcPr>
          <w:p w14:paraId="420C6BDE" w14:textId="7A04D0EC" w:rsidR="005601F1" w:rsidRPr="007260AE" w:rsidRDefault="007260AE" w:rsidP="00435A35">
            <w:pPr>
              <w:jc w:val="center"/>
              <w:rPr>
                <w:rFonts w:cs="Arial"/>
              </w:rPr>
            </w:pPr>
            <w:r w:rsidRPr="007260AE">
              <w:rPr>
                <w:rFonts w:cs="Arial"/>
              </w:rPr>
              <w:t>TenneT GmbH &amp; Co. KG</w:t>
            </w:r>
            <w:r w:rsidR="005601F1" w:rsidRPr="007260AE">
              <w:rPr>
                <w:rFonts w:cs="Arial"/>
              </w:rPr>
              <w:t>,</w:t>
            </w:r>
          </w:p>
          <w:p w14:paraId="7192EAAE" w14:textId="6F5F00A3" w:rsidR="005601F1" w:rsidRPr="006609C7" w:rsidRDefault="007260AE" w:rsidP="00435A35">
            <w:pPr>
              <w:jc w:val="center"/>
              <w:rPr>
                <w:rFonts w:cs="Arial"/>
              </w:rPr>
            </w:pPr>
            <w:r w:rsidRPr="007260AE">
              <w:rPr>
                <w:rFonts w:cs="Arial"/>
              </w:rPr>
              <w:t>Bernecker Straße 70</w:t>
            </w:r>
            <w:r w:rsidR="005601F1" w:rsidRPr="007260AE">
              <w:rPr>
                <w:rFonts w:cs="Arial"/>
              </w:rPr>
              <w:t xml:space="preserve">, </w:t>
            </w:r>
            <w:r w:rsidRPr="007260AE">
              <w:rPr>
                <w:rFonts w:cs="Arial"/>
              </w:rPr>
              <w:t>95448 Bayreuth</w:t>
            </w:r>
            <w:r w:rsidR="005601F1" w:rsidRPr="007260AE">
              <w:rPr>
                <w:rFonts w:cs="Arial"/>
              </w:rPr>
              <w:t>,</w:t>
            </w:r>
          </w:p>
          <w:p w14:paraId="2C41F68B" w14:textId="77777777" w:rsidR="005601F1" w:rsidRDefault="005601F1" w:rsidP="00435A35">
            <w:pPr>
              <w:jc w:val="center"/>
              <w:rPr>
                <w:rFonts w:cs="Arial"/>
              </w:rPr>
            </w:pPr>
          </w:p>
          <w:p w14:paraId="799C0A89" w14:textId="77777777" w:rsidR="005601F1" w:rsidRPr="006609C7" w:rsidRDefault="005601F1" w:rsidP="00435A35">
            <w:pPr>
              <w:jc w:val="center"/>
              <w:rPr>
                <w:rFonts w:cs="Arial"/>
              </w:rPr>
            </w:pPr>
          </w:p>
          <w:p w14:paraId="724D1404"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1205CD2D" w14:textId="77777777" w:rsidR="005601F1" w:rsidRDefault="005601F1" w:rsidP="00435A35">
            <w:pPr>
              <w:jc w:val="center"/>
              <w:rPr>
                <w:rFonts w:cs="Arial"/>
              </w:rPr>
            </w:pPr>
          </w:p>
          <w:p w14:paraId="039CE43C" w14:textId="77777777" w:rsidR="005601F1" w:rsidRPr="00A752E3" w:rsidRDefault="005601F1" w:rsidP="00435A35">
            <w:pPr>
              <w:rPr>
                <w:rFonts w:cs="Arial"/>
                <w:lang w:eastAsia="de-DE"/>
              </w:rPr>
            </w:pPr>
          </w:p>
        </w:tc>
      </w:tr>
      <w:tr w:rsidR="005601F1" w:rsidRPr="00897DD6" w14:paraId="596E5968" w14:textId="77777777" w:rsidTr="005601F1">
        <w:trPr>
          <w:trHeight w:val="20"/>
        </w:trPr>
        <w:tc>
          <w:tcPr>
            <w:tcW w:w="9639" w:type="dxa"/>
          </w:tcPr>
          <w:p w14:paraId="6F9F4D29" w14:textId="77777777" w:rsidR="005601F1" w:rsidRPr="006F2803" w:rsidRDefault="005601F1" w:rsidP="00435A35">
            <w:pPr>
              <w:jc w:val="center"/>
              <w:rPr>
                <w:rFonts w:cs="Arial"/>
                <w:lang w:val="en-US"/>
              </w:rPr>
            </w:pPr>
          </w:p>
          <w:p w14:paraId="4D6017E1" w14:textId="77777777" w:rsidR="005601F1" w:rsidRDefault="005601F1" w:rsidP="00435A35">
            <w:pPr>
              <w:jc w:val="center"/>
              <w:rPr>
                <w:rFonts w:cs="Arial"/>
              </w:rPr>
            </w:pPr>
            <w:r>
              <w:rPr>
                <w:rFonts w:cs="Arial"/>
              </w:rPr>
              <w:t>u</w:t>
            </w:r>
            <w:r w:rsidRPr="006609C7">
              <w:rPr>
                <w:rFonts w:cs="Arial"/>
              </w:rPr>
              <w:t>nd</w:t>
            </w:r>
          </w:p>
          <w:p w14:paraId="7A80E17C" w14:textId="77777777" w:rsidR="005601F1" w:rsidRPr="006609C7" w:rsidRDefault="005601F1" w:rsidP="00435A35">
            <w:pPr>
              <w:jc w:val="center"/>
              <w:rPr>
                <w:rFonts w:cs="Arial"/>
              </w:rPr>
            </w:pPr>
          </w:p>
          <w:p w14:paraId="3D574E94" w14:textId="77777777" w:rsidR="005601F1" w:rsidRPr="00A752E3" w:rsidRDefault="005601F1" w:rsidP="00435A35">
            <w:pPr>
              <w:rPr>
                <w:rFonts w:cs="Arial"/>
                <w:lang w:eastAsia="de-DE"/>
              </w:rPr>
            </w:pPr>
          </w:p>
        </w:tc>
      </w:tr>
      <w:tr w:rsidR="005601F1" w:rsidRPr="00B3320D" w14:paraId="439DF925" w14:textId="77777777" w:rsidTr="005601F1">
        <w:trPr>
          <w:trHeight w:val="20"/>
        </w:trPr>
        <w:tc>
          <w:tcPr>
            <w:tcW w:w="9639" w:type="dxa"/>
          </w:tcPr>
          <w:p w14:paraId="7968DC38" w14:textId="77777777" w:rsidR="005601F1" w:rsidRPr="006240C0" w:rsidRDefault="005601F1" w:rsidP="00435A35">
            <w:pPr>
              <w:jc w:val="center"/>
              <w:rPr>
                <w:rFonts w:cs="Arial"/>
                <w:highlight w:val="yellow"/>
              </w:rPr>
            </w:pPr>
            <w:r w:rsidRPr="006240C0">
              <w:rPr>
                <w:rFonts w:cs="Arial"/>
                <w:highlight w:val="yellow"/>
              </w:rPr>
              <w:t>Name des Unternehmens,</w:t>
            </w:r>
          </w:p>
          <w:p w14:paraId="46D550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00859C5A" w14:textId="77777777" w:rsidR="005601F1" w:rsidRPr="006240C0" w:rsidRDefault="005601F1" w:rsidP="00435A35">
            <w:pPr>
              <w:jc w:val="center"/>
              <w:rPr>
                <w:rFonts w:cs="Arial"/>
              </w:rPr>
            </w:pPr>
          </w:p>
          <w:p w14:paraId="20CBDA73" w14:textId="77777777" w:rsidR="005601F1" w:rsidRPr="006240C0" w:rsidRDefault="005601F1" w:rsidP="00435A35">
            <w:pPr>
              <w:jc w:val="center"/>
              <w:rPr>
                <w:rFonts w:cs="Arial"/>
              </w:rPr>
            </w:pPr>
          </w:p>
          <w:p w14:paraId="478838A2" w14:textId="77777777" w:rsidR="005601F1" w:rsidRPr="006240C0" w:rsidRDefault="005601F1" w:rsidP="00435A35">
            <w:pPr>
              <w:jc w:val="center"/>
              <w:rPr>
                <w:rFonts w:cs="Arial"/>
              </w:rPr>
            </w:pPr>
          </w:p>
          <w:p w14:paraId="4FF16F70" w14:textId="2AA85046" w:rsidR="005601F1" w:rsidRPr="006240C0" w:rsidRDefault="005601F1" w:rsidP="00435A35">
            <w:pPr>
              <w:jc w:val="center"/>
              <w:rPr>
                <w:rFonts w:cs="Arial"/>
              </w:rPr>
            </w:pPr>
            <w:r w:rsidRPr="006240C0">
              <w:rPr>
                <w:rFonts w:cs="Arial"/>
              </w:rPr>
              <w:t xml:space="preserve">– im Folgenden oder </w:t>
            </w:r>
            <w:r w:rsidRPr="006240C0">
              <w:rPr>
                <w:rFonts w:cs="Arial"/>
              </w:rPr>
              <w:br/>
              <w:t>„Empfangende Partei“ genannt –,</w:t>
            </w:r>
          </w:p>
          <w:p w14:paraId="7C4CEFE7" w14:textId="77777777" w:rsidR="005601F1" w:rsidRPr="006240C0" w:rsidRDefault="005601F1" w:rsidP="00435A35">
            <w:pPr>
              <w:jc w:val="center"/>
              <w:rPr>
                <w:rFonts w:cs="Arial"/>
                <w:sz w:val="22"/>
                <w:szCs w:val="22"/>
              </w:rPr>
            </w:pPr>
          </w:p>
          <w:p w14:paraId="2E9C776A" w14:textId="77777777" w:rsidR="005601F1" w:rsidRPr="006240C0" w:rsidRDefault="005601F1" w:rsidP="00B3320D">
            <w:pPr>
              <w:jc w:val="center"/>
              <w:rPr>
                <w:rFonts w:cs="Arial"/>
                <w:sz w:val="22"/>
                <w:szCs w:val="22"/>
              </w:rPr>
            </w:pPr>
          </w:p>
        </w:tc>
      </w:tr>
      <w:tr w:rsidR="005601F1" w:rsidRPr="00D60F65" w14:paraId="3C529082" w14:textId="77777777" w:rsidTr="005601F1">
        <w:trPr>
          <w:trHeight w:val="20"/>
        </w:trPr>
        <w:tc>
          <w:tcPr>
            <w:tcW w:w="9639" w:type="dxa"/>
          </w:tcPr>
          <w:p w14:paraId="1E6BDFE7" w14:textId="77777777" w:rsidR="005601F1" w:rsidRPr="00B3320D" w:rsidRDefault="005601F1" w:rsidP="00B3320D">
            <w:pPr>
              <w:spacing w:line="240" w:lineRule="atLeast"/>
              <w:jc w:val="center"/>
              <w:rPr>
                <w:rFonts w:cs="Arial"/>
              </w:rPr>
            </w:pPr>
          </w:p>
          <w:p w14:paraId="2B796421"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6B031D34" w14:textId="77777777" w:rsidR="005601F1" w:rsidRPr="00B3320D" w:rsidRDefault="005601F1" w:rsidP="00B3320D">
            <w:pPr>
              <w:spacing w:line="240" w:lineRule="atLeast"/>
              <w:jc w:val="center"/>
              <w:rPr>
                <w:rFonts w:cs="Arial"/>
              </w:rPr>
            </w:pPr>
          </w:p>
          <w:p w14:paraId="71843E36" w14:textId="77777777" w:rsidR="005601F1" w:rsidRPr="00D60F65" w:rsidRDefault="005601F1" w:rsidP="00B3320D">
            <w:pPr>
              <w:spacing w:line="240" w:lineRule="atLeast"/>
              <w:jc w:val="center"/>
              <w:rPr>
                <w:rFonts w:cs="Arial"/>
                <w:sz w:val="22"/>
                <w:szCs w:val="22"/>
              </w:rPr>
            </w:pPr>
          </w:p>
          <w:p w14:paraId="7953943A" w14:textId="77777777" w:rsidR="005601F1" w:rsidRDefault="005601F1" w:rsidP="00AA28F8">
            <w:pPr>
              <w:rPr>
                <w:rFonts w:cs="Arial"/>
                <w:sz w:val="22"/>
                <w:szCs w:val="22"/>
              </w:rPr>
            </w:pPr>
          </w:p>
          <w:p w14:paraId="166A6398" w14:textId="77777777" w:rsidR="00E9467B" w:rsidRDefault="00E9467B" w:rsidP="00AA28F8">
            <w:pPr>
              <w:rPr>
                <w:rFonts w:cs="Arial"/>
                <w:sz w:val="22"/>
                <w:szCs w:val="22"/>
              </w:rPr>
            </w:pPr>
          </w:p>
          <w:p w14:paraId="0A7B6EB3" w14:textId="77777777" w:rsidR="005601F1" w:rsidRPr="00D60F65" w:rsidRDefault="005601F1" w:rsidP="00E9467B">
            <w:pPr>
              <w:pStyle w:val="Paragraph"/>
              <w:spacing w:before="0" w:after="0"/>
              <w:ind w:left="0" w:right="268" w:firstLine="0"/>
              <w:rPr>
                <w:rFonts w:cs="Arial"/>
                <w:szCs w:val="22"/>
              </w:rPr>
            </w:pPr>
          </w:p>
        </w:tc>
      </w:tr>
      <w:tr w:rsidR="00E9467B" w:rsidRPr="00D60F65" w14:paraId="62247A89" w14:textId="77777777" w:rsidTr="005601F1">
        <w:trPr>
          <w:trHeight w:val="20"/>
        </w:trPr>
        <w:tc>
          <w:tcPr>
            <w:tcW w:w="9639" w:type="dxa"/>
          </w:tcPr>
          <w:p w14:paraId="467EB001" w14:textId="43070862" w:rsidR="00E9467B" w:rsidRDefault="00E9467B" w:rsidP="000201D9">
            <w:pPr>
              <w:pStyle w:val="Paragraph"/>
              <w:spacing w:before="0" w:after="0"/>
              <w:ind w:left="0" w:right="268" w:firstLine="0"/>
              <w:jc w:val="left"/>
              <w:rPr>
                <w:rFonts w:ascii="Arial" w:hAnsi="Arial" w:cs="Arial"/>
                <w:szCs w:val="22"/>
              </w:rPr>
            </w:pPr>
            <w:bookmarkStart w:id="0" w:name="_Toc230505353"/>
          </w:p>
          <w:p w14:paraId="7FD97542" w14:textId="54746720" w:rsidR="006221CE" w:rsidRDefault="006221CE" w:rsidP="000201D9">
            <w:pPr>
              <w:pStyle w:val="Paragraph"/>
              <w:spacing w:before="0" w:after="0"/>
              <w:ind w:left="0" w:right="268" w:firstLine="0"/>
              <w:jc w:val="left"/>
              <w:rPr>
                <w:rFonts w:ascii="Arial" w:hAnsi="Arial" w:cs="Arial"/>
                <w:szCs w:val="22"/>
              </w:rPr>
            </w:pPr>
          </w:p>
          <w:p w14:paraId="10A52419" w14:textId="24729B0D" w:rsidR="006221CE" w:rsidRDefault="006221CE" w:rsidP="000201D9">
            <w:pPr>
              <w:pStyle w:val="Paragraph"/>
              <w:spacing w:before="0" w:after="0"/>
              <w:ind w:left="0" w:right="268" w:firstLine="0"/>
              <w:jc w:val="left"/>
              <w:rPr>
                <w:rFonts w:ascii="Arial" w:hAnsi="Arial" w:cs="Arial"/>
                <w:szCs w:val="22"/>
              </w:rPr>
            </w:pPr>
          </w:p>
          <w:p w14:paraId="5BB30B87" w14:textId="7ECE10A8" w:rsidR="006221CE" w:rsidRDefault="006221CE" w:rsidP="000201D9">
            <w:pPr>
              <w:pStyle w:val="Paragraph"/>
              <w:spacing w:before="0" w:after="0"/>
              <w:ind w:left="0" w:right="268" w:firstLine="0"/>
              <w:jc w:val="left"/>
              <w:rPr>
                <w:rFonts w:ascii="Arial" w:hAnsi="Arial" w:cs="Arial"/>
                <w:szCs w:val="22"/>
              </w:rPr>
            </w:pPr>
          </w:p>
          <w:p w14:paraId="4261FC56" w14:textId="77777777" w:rsidR="006221CE" w:rsidRDefault="006221CE" w:rsidP="000201D9">
            <w:pPr>
              <w:pStyle w:val="Paragraph"/>
              <w:spacing w:before="0" w:after="0"/>
              <w:ind w:left="0" w:right="268" w:firstLine="0"/>
              <w:jc w:val="left"/>
              <w:rPr>
                <w:rFonts w:ascii="Arial" w:hAnsi="Arial" w:cs="Arial"/>
                <w:szCs w:val="22"/>
              </w:rPr>
            </w:pPr>
          </w:p>
          <w:p w14:paraId="0532FBF8"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lastRenderedPageBreak/>
              <w:t>Präambel</w:t>
            </w:r>
            <w:bookmarkEnd w:id="0"/>
          </w:p>
          <w:p w14:paraId="0FF91843" w14:textId="77777777" w:rsidR="00E9467B" w:rsidRPr="00B3320D" w:rsidRDefault="00E9467B" w:rsidP="00B3320D">
            <w:pPr>
              <w:spacing w:line="240" w:lineRule="atLeast"/>
              <w:jc w:val="center"/>
              <w:rPr>
                <w:rFonts w:cs="Arial"/>
              </w:rPr>
            </w:pPr>
          </w:p>
        </w:tc>
      </w:tr>
      <w:tr w:rsidR="005601F1" w:rsidRPr="005601F1" w14:paraId="73F98D74" w14:textId="77777777" w:rsidTr="005601F1">
        <w:trPr>
          <w:trHeight w:val="20"/>
        </w:trPr>
        <w:tc>
          <w:tcPr>
            <w:tcW w:w="9639" w:type="dxa"/>
          </w:tcPr>
          <w:p w14:paraId="2C7DBC74" w14:textId="1AD65581" w:rsidR="005601F1" w:rsidRPr="00996FA8" w:rsidRDefault="005601F1" w:rsidP="000B188E">
            <w:pPr>
              <w:pStyle w:val="Abstze"/>
              <w:tabs>
                <w:tab w:val="clear" w:pos="851"/>
                <w:tab w:val="num" w:pos="567"/>
              </w:tabs>
              <w:spacing w:after="0"/>
              <w:ind w:left="567" w:right="-17"/>
              <w:rPr>
                <w:rFonts w:ascii="Arial" w:hAnsi="Arial" w:cs="Arial"/>
                <w:szCs w:val="20"/>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r w:rsidR="007260AE" w:rsidRPr="00996FA8">
              <w:rPr>
                <w:rFonts w:ascii="Arial" w:hAnsi="Arial" w:cs="Arial"/>
                <w:b/>
                <w:bCs/>
                <w:szCs w:val="20"/>
              </w:rPr>
              <w:t>„Umbau Bestandsgebäude“</w:t>
            </w:r>
            <w:r w:rsidRPr="00996FA8">
              <w:rPr>
                <w:rFonts w:ascii="Arial" w:hAnsi="Arial" w:cs="Arial"/>
                <w:szCs w:val="20"/>
              </w:rPr>
              <w:t xml:space="preserve"> </w:t>
            </w:r>
            <w:r w:rsidRPr="006609C7">
              <w:rPr>
                <w:rFonts w:ascii="Arial" w:hAnsi="Arial" w:cs="Arial"/>
                <w:szCs w:val="20"/>
              </w:rPr>
              <w:t xml:space="preserve">(nachfolgend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6EB36A15" w14:textId="77777777" w:rsidR="005601F1" w:rsidRPr="00A752E3" w:rsidRDefault="005601F1" w:rsidP="00435A35">
            <w:pPr>
              <w:rPr>
                <w:rFonts w:cs="Arial"/>
                <w:lang w:eastAsia="de-DE"/>
              </w:rPr>
            </w:pPr>
          </w:p>
        </w:tc>
      </w:tr>
      <w:tr w:rsidR="005601F1" w:rsidRPr="005601F1" w14:paraId="344633E3" w14:textId="77777777" w:rsidTr="005601F1">
        <w:trPr>
          <w:trHeight w:val="20"/>
        </w:trPr>
        <w:tc>
          <w:tcPr>
            <w:tcW w:w="9639" w:type="dxa"/>
          </w:tcPr>
          <w:p w14:paraId="75DDDA8B" w14:textId="77777777" w:rsidR="005601F1" w:rsidRPr="006221CE" w:rsidRDefault="000201D9" w:rsidP="00996FA8">
            <w:pPr>
              <w:pStyle w:val="Abstze"/>
              <w:tabs>
                <w:tab w:val="clear" w:pos="851"/>
                <w:tab w:val="num" w:pos="567"/>
              </w:tabs>
              <w:spacing w:after="0"/>
              <w:ind w:left="567" w:right="-17"/>
              <w:rPr>
                <w:rFonts w:ascii="Arial" w:hAnsi="Arial" w:cs="Arial"/>
                <w:szCs w:val="20"/>
              </w:rPr>
            </w:pPr>
            <w:r w:rsidRPr="006221CE">
              <w:rPr>
                <w:rFonts w:ascii="Arial" w:hAnsi="Arial" w:cs="Arial"/>
                <w:szCs w:val="20"/>
              </w:rPr>
              <w:t>TenneT ist</w:t>
            </w:r>
            <w:r w:rsidR="005601F1" w:rsidRPr="006221CE">
              <w:rPr>
                <w:rFonts w:ascii="Arial" w:hAnsi="Arial" w:cs="Arial"/>
                <w:szCs w:val="20"/>
              </w:rPr>
              <w:t xml:space="preserve"> jedoch nur unter der Voraussetzung, dass die Informationen von der Empfangenden Partei als vertraulich anerkannt und behandelt werden, bereit,  diese Informationen zur Verfügung zu stellen.</w:t>
            </w:r>
          </w:p>
          <w:p w14:paraId="5B15ED26" w14:textId="77777777" w:rsidR="005601F1" w:rsidRDefault="005601F1" w:rsidP="009D39B6">
            <w:pPr>
              <w:spacing w:line="240" w:lineRule="atLeast"/>
              <w:rPr>
                <w:rFonts w:cs="Arial"/>
                <w:lang w:eastAsia="de-DE"/>
              </w:rPr>
            </w:pPr>
          </w:p>
          <w:p w14:paraId="73379EF2" w14:textId="77777777" w:rsidR="005601F1" w:rsidRPr="00AE508C" w:rsidRDefault="005601F1" w:rsidP="009D39B6">
            <w:pPr>
              <w:spacing w:line="240" w:lineRule="atLeast"/>
            </w:pPr>
            <w:r w:rsidRPr="00AE508C">
              <w:t>Vor diesem Hintergrund schließen die Parteien folgende Geheimhaltungsvereinbarung:</w:t>
            </w:r>
          </w:p>
          <w:p w14:paraId="37D9A971" w14:textId="77777777" w:rsidR="005601F1" w:rsidRPr="00A752E3" w:rsidRDefault="005601F1" w:rsidP="000466E6">
            <w:pPr>
              <w:rPr>
                <w:rFonts w:cs="Arial"/>
                <w:lang w:eastAsia="de-DE"/>
              </w:rPr>
            </w:pPr>
          </w:p>
        </w:tc>
      </w:tr>
      <w:tr w:rsidR="005601F1" w:rsidRPr="00D60F65" w14:paraId="2AD9CF5C" w14:textId="77777777" w:rsidTr="005601F1">
        <w:trPr>
          <w:trHeight w:val="20"/>
        </w:trPr>
        <w:tc>
          <w:tcPr>
            <w:tcW w:w="9639" w:type="dxa"/>
          </w:tcPr>
          <w:p w14:paraId="04414B28" w14:textId="77777777" w:rsidR="005601F1" w:rsidRPr="0087450E" w:rsidRDefault="005601F1" w:rsidP="00B3320D">
            <w:pPr>
              <w:pStyle w:val="Paragraph"/>
              <w:spacing w:before="0" w:after="0"/>
              <w:ind w:left="0" w:right="266" w:firstLine="0"/>
              <w:rPr>
                <w:rFonts w:ascii="Arial" w:hAnsi="Arial" w:cs="Arial"/>
                <w:szCs w:val="22"/>
              </w:rPr>
            </w:pPr>
          </w:p>
          <w:p w14:paraId="57ED0024"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A2B5146" w14:textId="77777777" w:rsidR="005601F1" w:rsidRPr="00D60F65" w:rsidRDefault="005601F1" w:rsidP="00435A35">
            <w:pPr>
              <w:rPr>
                <w:rFonts w:cs="Arial"/>
                <w:sz w:val="22"/>
                <w:szCs w:val="22"/>
                <w:lang w:eastAsia="de-DE"/>
              </w:rPr>
            </w:pPr>
          </w:p>
        </w:tc>
      </w:tr>
      <w:tr w:rsidR="005601F1" w:rsidRPr="005601F1" w14:paraId="49E6CFDE" w14:textId="77777777" w:rsidTr="005601F1">
        <w:trPr>
          <w:trHeight w:val="20"/>
        </w:trPr>
        <w:tc>
          <w:tcPr>
            <w:tcW w:w="9639" w:type="dxa"/>
          </w:tcPr>
          <w:p w14:paraId="00F4C99A" w14:textId="77777777" w:rsidR="005601F1" w:rsidRPr="00A752E3" w:rsidRDefault="005601F1" w:rsidP="00996FA8">
            <w:pPr>
              <w:widowControl/>
              <w:numPr>
                <w:ilvl w:val="0"/>
                <w:numId w:val="11"/>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sensible Informationen, insbesondere </w:t>
            </w:r>
            <w:r>
              <w:rPr>
                <w:rFonts w:cs="Arial"/>
              </w:rPr>
              <w:t>Geschäfts</w:t>
            </w:r>
            <w:r w:rsidRPr="00BC7367">
              <w:rPr>
                <w:rFonts w:cs="Arial"/>
              </w:rPr>
              <w:t>kontakte, Kenntnisse, Fähigkeiten, Erfahrungen, Finanz-, Produktions- oder Vertriebsdat</w:t>
            </w:r>
            <w:r>
              <w:rPr>
                <w:rFonts w:cs="Arial"/>
              </w:rPr>
              <w:t xml:space="preserve">en </w:t>
            </w:r>
            <w:r w:rsidR="000201D9">
              <w:rPr>
                <w:rFonts w:cs="Arial"/>
              </w:rPr>
              <w:t>und / oder Entwicklungslei</w:t>
            </w:r>
            <w:r>
              <w:rPr>
                <w:rFonts w:cs="Arial"/>
              </w:rPr>
              <w:t>stun</w:t>
            </w:r>
            <w:r w:rsidRPr="00BC7367">
              <w:rPr>
                <w:rFonts w:cs="Arial"/>
              </w:rPr>
              <w:t>gen oder -verfahren, Betriebs- und Geschäftsgeheimnisse, Personalinformationen</w:t>
            </w:r>
            <w:r>
              <w:rPr>
                <w:rFonts w:cs="Arial"/>
              </w:rPr>
              <w:t xml:space="preserve"> </w:t>
            </w:r>
            <w:r w:rsidRPr="00F2204B">
              <w:rPr>
                <w:rFonts w:cs="Arial"/>
              </w:rPr>
              <w:t>von TenneT und</w:t>
            </w:r>
            <w:r w:rsidR="000201D9">
              <w:rPr>
                <w:rFonts w:cs="Arial"/>
              </w:rPr>
              <w:t xml:space="preserve"> </w:t>
            </w:r>
            <w:r w:rsidRPr="00F2204B">
              <w:rPr>
                <w:rFonts w:cs="Arial"/>
              </w:rPr>
              <w:t>/</w:t>
            </w:r>
            <w:r w:rsidR="000201D9">
              <w:rPr>
                <w:rFonts w:cs="Arial"/>
              </w:rPr>
              <w:t xml:space="preserve"> </w:t>
            </w:r>
            <w:r w:rsidRPr="00F2204B">
              <w:rPr>
                <w:rFonts w:cs="Arial"/>
              </w:rPr>
              <w:t>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5601F1" w14:paraId="3DD5CF40" w14:textId="77777777" w:rsidTr="005601F1">
        <w:trPr>
          <w:trHeight w:val="20"/>
          <w:hidden/>
        </w:trPr>
        <w:tc>
          <w:tcPr>
            <w:tcW w:w="9639" w:type="dxa"/>
          </w:tcPr>
          <w:p w14:paraId="36C156F6" w14:textId="77777777" w:rsidR="000201D9" w:rsidRPr="000201D9" w:rsidRDefault="000201D9" w:rsidP="006221CE">
            <w:pPr>
              <w:pStyle w:val="Listenabsatz"/>
              <w:spacing w:after="0"/>
              <w:ind w:left="567"/>
              <w:jc w:val="left"/>
              <w:rPr>
                <w:rFonts w:ascii="Arial" w:hAnsi="Arial" w:cs="Arial"/>
                <w:vanish/>
                <w:szCs w:val="20"/>
                <w:lang w:eastAsia="nl-NL"/>
              </w:rPr>
            </w:pPr>
          </w:p>
          <w:p w14:paraId="3231DC1B" w14:textId="77777777" w:rsidR="005601F1" w:rsidRPr="00A752E3" w:rsidRDefault="005601F1" w:rsidP="00996FA8">
            <w:pPr>
              <w:widowControl/>
              <w:numPr>
                <w:ilvl w:val="0"/>
                <w:numId w:val="11"/>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Vertrauliche In</w:t>
            </w:r>
            <w:r>
              <w:rPr>
                <w:rFonts w:cs="Arial"/>
              </w:rPr>
              <w:t>formationen im Sinne des Absatz </w:t>
            </w:r>
            <w:r w:rsidRPr="00BC7367">
              <w:rPr>
                <w:rFonts w:cs="Arial"/>
              </w:rPr>
              <w:t>1 und unterfallen ebenfalls den Regelungen dieser Vereinbarung.</w:t>
            </w:r>
            <w:r>
              <w:rPr>
                <w:rFonts w:cs="Arial"/>
              </w:rPr>
              <w:br/>
            </w:r>
          </w:p>
        </w:tc>
      </w:tr>
      <w:tr w:rsidR="005601F1" w:rsidRPr="005574B1" w14:paraId="66E35569" w14:textId="77777777" w:rsidTr="005601F1">
        <w:trPr>
          <w:trHeight w:val="20"/>
        </w:trPr>
        <w:tc>
          <w:tcPr>
            <w:tcW w:w="9639" w:type="dxa"/>
          </w:tcPr>
          <w:p w14:paraId="4E7CA31D" w14:textId="77777777" w:rsidR="005601F1" w:rsidRPr="005601F1" w:rsidRDefault="005601F1" w:rsidP="00B3320D">
            <w:pPr>
              <w:spacing w:line="260" w:lineRule="atLeast"/>
              <w:jc w:val="center"/>
              <w:rPr>
                <w:rFonts w:cs="Arial"/>
                <w:b/>
                <w:sz w:val="22"/>
                <w:szCs w:val="22"/>
              </w:rPr>
            </w:pPr>
          </w:p>
          <w:p w14:paraId="1E8A79B6" w14:textId="77777777" w:rsidR="005601F1" w:rsidRPr="00D60F65" w:rsidRDefault="005601F1" w:rsidP="00B3320D">
            <w:pPr>
              <w:spacing w:line="260" w:lineRule="atLeast"/>
              <w:jc w:val="center"/>
              <w:rPr>
                <w:rFonts w:cs="Arial"/>
                <w:b/>
                <w:sz w:val="22"/>
                <w:szCs w:val="22"/>
              </w:rPr>
            </w:pPr>
            <w:r w:rsidRPr="00D60F65">
              <w:rPr>
                <w:rFonts w:cs="Arial"/>
                <w:b/>
                <w:sz w:val="22"/>
                <w:szCs w:val="22"/>
              </w:rPr>
              <w:t>Artikel 2 - Geheimhaltung und Nicht-Weitergabe</w:t>
            </w:r>
          </w:p>
          <w:p w14:paraId="416BFD5B" w14:textId="77777777" w:rsidR="005601F1" w:rsidRPr="00D60F65" w:rsidRDefault="005601F1" w:rsidP="00B3320D">
            <w:pPr>
              <w:spacing w:line="260" w:lineRule="atLeast"/>
              <w:rPr>
                <w:rFonts w:cs="Arial"/>
                <w:sz w:val="22"/>
                <w:szCs w:val="22"/>
                <w:lang w:eastAsia="de-DE"/>
              </w:rPr>
            </w:pPr>
          </w:p>
        </w:tc>
      </w:tr>
      <w:tr w:rsidR="005601F1" w:rsidRPr="005601F1" w14:paraId="6F36FC7B" w14:textId="77777777" w:rsidTr="005601F1">
        <w:trPr>
          <w:trHeight w:val="20"/>
        </w:trPr>
        <w:tc>
          <w:tcPr>
            <w:tcW w:w="9639" w:type="dxa"/>
          </w:tcPr>
          <w:p w14:paraId="3A5096AE" w14:textId="77777777" w:rsidR="005601F1" w:rsidRPr="009E1EDF" w:rsidRDefault="005601F1" w:rsidP="00996FA8">
            <w:pPr>
              <w:pStyle w:val="Listenabsatz"/>
              <w:numPr>
                <w:ilvl w:val="0"/>
                <w:numId w:val="13"/>
              </w:numPr>
              <w:spacing w:after="0"/>
              <w:ind w:left="567" w:hanging="567"/>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40B15C84" w14:textId="77777777" w:rsidR="005601F1" w:rsidRPr="00A752E3" w:rsidRDefault="005601F1" w:rsidP="000201D9">
            <w:pPr>
              <w:spacing w:line="260" w:lineRule="atLeast"/>
              <w:jc w:val="both"/>
              <w:rPr>
                <w:rFonts w:cs="Arial"/>
                <w:lang w:eastAsia="de-DE"/>
              </w:rPr>
            </w:pPr>
          </w:p>
        </w:tc>
      </w:tr>
      <w:tr w:rsidR="005601F1" w:rsidRPr="005601F1" w14:paraId="6D7E9998" w14:textId="77777777" w:rsidTr="005601F1">
        <w:trPr>
          <w:trHeight w:val="20"/>
        </w:trPr>
        <w:tc>
          <w:tcPr>
            <w:tcW w:w="9639" w:type="dxa"/>
          </w:tcPr>
          <w:p w14:paraId="2B80F44B" w14:textId="77777777" w:rsidR="005601F1" w:rsidRPr="006221CE" w:rsidRDefault="005601F1" w:rsidP="00996FA8">
            <w:pPr>
              <w:pStyle w:val="Listenabsatz"/>
              <w:numPr>
                <w:ilvl w:val="0"/>
                <w:numId w:val="13"/>
              </w:numPr>
              <w:spacing w:after="0"/>
              <w:ind w:left="567" w:hanging="567"/>
              <w:rPr>
                <w:rFonts w:ascii="Arial" w:hAnsi="Arial" w:cs="Arial"/>
              </w:rPr>
            </w:pPr>
            <w:r w:rsidRPr="006221CE">
              <w:rPr>
                <w:rFonts w:ascii="Arial" w:hAnsi="Arial" w:cs="Arial"/>
              </w:rPr>
              <w:t>Die Empfangende Partei verpflichtet sich,</w:t>
            </w:r>
          </w:p>
          <w:p w14:paraId="0D28B399" w14:textId="77777777" w:rsidR="005601F1" w:rsidRPr="006609C7" w:rsidRDefault="005601F1" w:rsidP="000201D9">
            <w:pPr>
              <w:pStyle w:val="Abstze"/>
              <w:numPr>
                <w:ilvl w:val="0"/>
                <w:numId w:val="0"/>
              </w:numPr>
              <w:spacing w:after="0"/>
              <w:rPr>
                <w:rFonts w:ascii="Arial" w:hAnsi="Arial" w:cs="Arial"/>
                <w:szCs w:val="20"/>
              </w:rPr>
            </w:pPr>
          </w:p>
        </w:tc>
      </w:tr>
      <w:tr w:rsidR="005601F1" w:rsidRPr="005601F1" w14:paraId="28C9A4A2" w14:textId="77777777" w:rsidTr="005601F1">
        <w:trPr>
          <w:trHeight w:val="20"/>
        </w:trPr>
        <w:tc>
          <w:tcPr>
            <w:tcW w:w="9639" w:type="dxa"/>
          </w:tcPr>
          <w:p w14:paraId="2CD75215" w14:textId="77777777" w:rsidR="005601F1" w:rsidRPr="00BC1CAE"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5B74BED4" w14:textId="77777777" w:rsidR="005601F1" w:rsidRPr="00A752E3" w:rsidRDefault="005601F1" w:rsidP="000201D9">
            <w:pPr>
              <w:jc w:val="both"/>
              <w:rPr>
                <w:rFonts w:cs="Arial"/>
                <w:lang w:eastAsia="de-DE"/>
              </w:rPr>
            </w:pPr>
          </w:p>
        </w:tc>
      </w:tr>
      <w:tr w:rsidR="005601F1" w:rsidRPr="005601F1" w14:paraId="45849B45" w14:textId="77777777" w:rsidTr="005601F1">
        <w:trPr>
          <w:trHeight w:val="20"/>
        </w:trPr>
        <w:tc>
          <w:tcPr>
            <w:tcW w:w="9639" w:type="dxa"/>
          </w:tcPr>
          <w:p w14:paraId="5ABD979E" w14:textId="77777777" w:rsidR="005601F1" w:rsidRPr="00BC1CAE" w:rsidRDefault="005601F1" w:rsidP="00996FA8">
            <w:pPr>
              <w:pStyle w:val="Listenabsatz"/>
              <w:numPr>
                <w:ilvl w:val="0"/>
                <w:numId w:val="12"/>
              </w:numPr>
              <w:spacing w:after="0"/>
              <w:ind w:left="771" w:hanging="357"/>
              <w:rPr>
                <w:rFonts w:ascii="Arial" w:hAnsi="Arial" w:cs="Arial"/>
                <w:szCs w:val="20"/>
              </w:rPr>
            </w:pPr>
            <w:r w:rsidRPr="00B02821">
              <w:rPr>
                <w:rFonts w:ascii="Arial" w:hAnsi="Arial" w:cs="Arial"/>
                <w:szCs w:val="20"/>
              </w:rPr>
              <w:t>die Vertraulichen Informationen nur soweit zu vervielfältigen, wie dies mit dem Vertragszweck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66E6E27" w14:textId="77777777" w:rsidR="005601F1" w:rsidRPr="00A752E3" w:rsidRDefault="005601F1" w:rsidP="000201D9">
            <w:pPr>
              <w:jc w:val="both"/>
              <w:rPr>
                <w:rFonts w:cs="Arial"/>
                <w:lang w:eastAsia="de-DE"/>
              </w:rPr>
            </w:pPr>
          </w:p>
        </w:tc>
      </w:tr>
      <w:tr w:rsidR="005601F1" w:rsidRPr="005601F1" w14:paraId="35FED12B" w14:textId="77777777" w:rsidTr="005601F1">
        <w:trPr>
          <w:trHeight w:val="20"/>
        </w:trPr>
        <w:tc>
          <w:tcPr>
            <w:tcW w:w="9639" w:type="dxa"/>
          </w:tcPr>
          <w:p w14:paraId="0B457C63" w14:textId="77777777" w:rsidR="005601F1" w:rsidRPr="006609C7"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nicht länger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 xml:space="preserve">en Informationen entweder zu vernichten bzw. zu löschen oder der offenlegenden Partei zurückzugeben, </w:t>
            </w:r>
          </w:p>
          <w:p w14:paraId="03C19F09" w14:textId="77777777" w:rsidR="005601F1" w:rsidRPr="00A752E3" w:rsidRDefault="005601F1" w:rsidP="000201D9">
            <w:pPr>
              <w:jc w:val="both"/>
              <w:rPr>
                <w:rFonts w:cs="Arial"/>
                <w:lang w:eastAsia="de-DE"/>
              </w:rPr>
            </w:pPr>
          </w:p>
        </w:tc>
      </w:tr>
      <w:tr w:rsidR="005601F1" w:rsidRPr="005601F1" w14:paraId="638B762E" w14:textId="77777777" w:rsidTr="005601F1">
        <w:trPr>
          <w:trHeight w:val="20"/>
        </w:trPr>
        <w:tc>
          <w:tcPr>
            <w:tcW w:w="9639" w:type="dxa"/>
          </w:tcPr>
          <w:p w14:paraId="0BAB419B" w14:textId="77777777" w:rsidR="005601F1" w:rsidRPr="000201D9"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lastRenderedPageBreak/>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440088C3" w14:textId="77777777" w:rsidR="005601F1" w:rsidRPr="00A752E3" w:rsidRDefault="005601F1" w:rsidP="000201D9">
            <w:pPr>
              <w:jc w:val="both"/>
              <w:rPr>
                <w:rFonts w:cs="Arial"/>
                <w:lang w:eastAsia="de-DE"/>
              </w:rPr>
            </w:pPr>
          </w:p>
        </w:tc>
      </w:tr>
      <w:tr w:rsidR="005601F1" w:rsidRPr="00897DD6" w14:paraId="33341F9C" w14:textId="77777777" w:rsidTr="005601F1">
        <w:trPr>
          <w:trHeight w:val="20"/>
          <w:hidden/>
        </w:trPr>
        <w:tc>
          <w:tcPr>
            <w:tcW w:w="9639" w:type="dxa"/>
          </w:tcPr>
          <w:p w14:paraId="0D3B840E" w14:textId="77777777" w:rsidR="000201D9" w:rsidRPr="006221CE" w:rsidRDefault="000201D9" w:rsidP="006221CE">
            <w:pPr>
              <w:rPr>
                <w:rFonts w:cs="Arial"/>
                <w:vanish/>
              </w:rPr>
            </w:pPr>
          </w:p>
          <w:p w14:paraId="3F45C4E8" w14:textId="77777777" w:rsidR="005601F1" w:rsidRPr="006221CE" w:rsidRDefault="005601F1" w:rsidP="00996FA8">
            <w:pPr>
              <w:pStyle w:val="Listenabsatz"/>
              <w:numPr>
                <w:ilvl w:val="0"/>
                <w:numId w:val="13"/>
              </w:numPr>
              <w:spacing w:after="0"/>
              <w:ind w:left="567" w:hanging="567"/>
              <w:rPr>
                <w:rFonts w:ascii="Arial" w:hAnsi="Arial" w:cs="Arial"/>
              </w:rPr>
            </w:pPr>
            <w:r w:rsidRPr="006221CE">
              <w:rPr>
                <w:rFonts w:ascii="Arial" w:hAnsi="Arial" w:cs="Arial"/>
              </w:rPr>
              <w:t>Sämtliche Vertrauliche Informationen sind durch die Empfangende Partei streng vertraulich zu behandeln und dürfen niemandem zugänglich gemacht werden,</w:t>
            </w:r>
          </w:p>
          <w:p w14:paraId="729FDE7B" w14:textId="77777777" w:rsidR="000201D9" w:rsidRPr="0051507E" w:rsidRDefault="000201D9" w:rsidP="000201D9">
            <w:pPr>
              <w:pStyle w:val="Abstze"/>
              <w:numPr>
                <w:ilvl w:val="0"/>
                <w:numId w:val="0"/>
              </w:numPr>
              <w:spacing w:after="0"/>
              <w:ind w:left="567"/>
              <w:rPr>
                <w:rFonts w:cs="Arial"/>
              </w:rPr>
            </w:pPr>
          </w:p>
          <w:p w14:paraId="7A270B97" w14:textId="77777777" w:rsidR="005601F1" w:rsidRDefault="005601F1" w:rsidP="000201D9">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46F4AA3F" w14:textId="77777777" w:rsidR="005601F1" w:rsidRPr="0051507E" w:rsidRDefault="005601F1" w:rsidP="000201D9">
            <w:pPr>
              <w:jc w:val="both"/>
              <w:rPr>
                <w:rFonts w:cs="Arial"/>
                <w:lang w:val="en-US" w:eastAsia="de-DE"/>
              </w:rPr>
            </w:pPr>
          </w:p>
        </w:tc>
      </w:tr>
      <w:tr w:rsidR="005601F1" w:rsidRPr="005601F1" w14:paraId="748FBE67" w14:textId="77777777" w:rsidTr="005601F1">
        <w:trPr>
          <w:trHeight w:val="20"/>
        </w:trPr>
        <w:tc>
          <w:tcPr>
            <w:tcW w:w="9639" w:type="dxa"/>
          </w:tcPr>
          <w:p w14:paraId="71AD6CA6" w14:textId="77777777" w:rsidR="005601F1" w:rsidRPr="00BC1CAE" w:rsidRDefault="005601F1" w:rsidP="00996FA8">
            <w:pPr>
              <w:pStyle w:val="Abstze"/>
              <w:numPr>
                <w:ilvl w:val="0"/>
                <w:numId w:val="12"/>
              </w:numPr>
              <w:spacing w:after="0"/>
              <w:ind w:left="771" w:hanging="357"/>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mpfangenden Partei und</w:t>
            </w:r>
            <w:r w:rsidR="000201D9">
              <w:rPr>
                <w:rFonts w:ascii="Arial" w:hAnsi="Arial" w:cs="Arial"/>
                <w:szCs w:val="20"/>
              </w:rPr>
              <w:t xml:space="preserve"> </w:t>
            </w:r>
            <w:r w:rsidRPr="006609C7">
              <w:rPr>
                <w:rFonts w:ascii="Arial" w:hAnsi="Arial" w:cs="Arial"/>
                <w:szCs w:val="20"/>
              </w:rPr>
              <w:t>/</w:t>
            </w:r>
            <w:r w:rsidR="000201D9">
              <w:rPr>
                <w:rFonts w:ascii="Arial" w:hAnsi="Arial" w:cs="Arial"/>
                <w:szCs w:val="20"/>
              </w:rPr>
              <w:t xml:space="preserve"> </w:t>
            </w:r>
            <w:r w:rsidRPr="006609C7">
              <w:rPr>
                <w:rFonts w:ascii="Arial" w:hAnsi="Arial" w:cs="Arial"/>
                <w:szCs w:val="20"/>
              </w:rPr>
              <w:t xml:space="preserve">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252E195D" w14:textId="77777777" w:rsidR="005601F1" w:rsidRPr="00A752E3" w:rsidRDefault="005601F1" w:rsidP="000201D9">
            <w:pPr>
              <w:jc w:val="both"/>
              <w:rPr>
                <w:rFonts w:cs="Arial"/>
                <w:lang w:eastAsia="de-DE"/>
              </w:rPr>
            </w:pPr>
          </w:p>
        </w:tc>
      </w:tr>
      <w:tr w:rsidR="005601F1" w:rsidRPr="005601F1" w14:paraId="769ADD88" w14:textId="77777777" w:rsidTr="005601F1">
        <w:trPr>
          <w:trHeight w:val="20"/>
        </w:trPr>
        <w:tc>
          <w:tcPr>
            <w:tcW w:w="9639" w:type="dxa"/>
          </w:tcPr>
          <w:p w14:paraId="49886968" w14:textId="77777777" w:rsidR="005601F1"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11409B84" w14:textId="77777777" w:rsidR="005601F1" w:rsidRPr="00A752E3" w:rsidRDefault="005601F1" w:rsidP="000201D9">
            <w:pPr>
              <w:jc w:val="both"/>
              <w:rPr>
                <w:rFonts w:cs="Arial"/>
                <w:lang w:eastAsia="de-DE"/>
              </w:rPr>
            </w:pPr>
          </w:p>
        </w:tc>
      </w:tr>
      <w:tr w:rsidR="005601F1" w:rsidRPr="005601F1" w14:paraId="5F09E353" w14:textId="77777777" w:rsidTr="005601F1">
        <w:trPr>
          <w:trHeight w:val="20"/>
        </w:trPr>
        <w:tc>
          <w:tcPr>
            <w:tcW w:w="9639" w:type="dxa"/>
          </w:tcPr>
          <w:p w14:paraId="2E31AEA8" w14:textId="77777777" w:rsidR="005601F1" w:rsidRPr="000201D9" w:rsidRDefault="005601F1" w:rsidP="00996FA8">
            <w:pPr>
              <w:pStyle w:val="Abstze"/>
              <w:numPr>
                <w:ilvl w:val="0"/>
                <w:numId w:val="19"/>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43062D6F" w14:textId="77777777" w:rsidR="005601F1" w:rsidRPr="00A752E3" w:rsidRDefault="005601F1" w:rsidP="000201D9">
            <w:pPr>
              <w:jc w:val="both"/>
              <w:rPr>
                <w:rFonts w:cs="Arial"/>
                <w:lang w:eastAsia="de-DE"/>
              </w:rPr>
            </w:pPr>
          </w:p>
        </w:tc>
      </w:tr>
      <w:tr w:rsidR="005601F1" w:rsidRPr="005601F1" w14:paraId="78DC6BBD" w14:textId="77777777" w:rsidTr="005601F1">
        <w:trPr>
          <w:trHeight w:val="20"/>
        </w:trPr>
        <w:tc>
          <w:tcPr>
            <w:tcW w:w="9639" w:type="dxa"/>
          </w:tcPr>
          <w:p w14:paraId="1962C57D" w14:textId="77777777" w:rsidR="005601F1" w:rsidRPr="000201D9" w:rsidRDefault="005601F1" w:rsidP="00996FA8">
            <w:pPr>
              <w:pStyle w:val="Abstze"/>
              <w:numPr>
                <w:ilvl w:val="0"/>
                <w:numId w:val="19"/>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7D3F1A2F" w14:textId="77777777" w:rsidR="005601F1" w:rsidRPr="00A752E3" w:rsidRDefault="005601F1" w:rsidP="000201D9">
            <w:pPr>
              <w:jc w:val="both"/>
              <w:rPr>
                <w:rFonts w:cs="Arial"/>
                <w:lang w:eastAsia="de-DE"/>
              </w:rPr>
            </w:pPr>
          </w:p>
        </w:tc>
      </w:tr>
      <w:tr w:rsidR="005601F1" w:rsidRPr="005601F1" w14:paraId="7468204C" w14:textId="77777777" w:rsidTr="005601F1">
        <w:trPr>
          <w:trHeight w:val="20"/>
        </w:trPr>
        <w:tc>
          <w:tcPr>
            <w:tcW w:w="9639" w:type="dxa"/>
          </w:tcPr>
          <w:p w14:paraId="3B1E3CCD" w14:textId="77777777" w:rsidR="005601F1" w:rsidRPr="000201D9" w:rsidRDefault="005601F1" w:rsidP="00996FA8">
            <w:pPr>
              <w:pStyle w:val="Abstze"/>
              <w:numPr>
                <w:ilvl w:val="0"/>
                <w:numId w:val="19"/>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120F6A27" w14:textId="77777777" w:rsidR="005601F1" w:rsidRPr="00A752E3" w:rsidRDefault="005601F1" w:rsidP="000201D9">
            <w:pPr>
              <w:jc w:val="both"/>
              <w:rPr>
                <w:rFonts w:cs="Arial"/>
                <w:lang w:eastAsia="de-DE"/>
              </w:rPr>
            </w:pPr>
          </w:p>
        </w:tc>
      </w:tr>
      <w:tr w:rsidR="005601F1" w:rsidRPr="008C7BA6" w14:paraId="669CBA2C" w14:textId="77777777" w:rsidTr="005601F1">
        <w:trPr>
          <w:trHeight w:val="20"/>
        </w:trPr>
        <w:tc>
          <w:tcPr>
            <w:tcW w:w="9639" w:type="dxa"/>
          </w:tcPr>
          <w:p w14:paraId="59AC0469" w14:textId="77777777" w:rsidR="005601F1" w:rsidRPr="005601F1" w:rsidRDefault="005601F1" w:rsidP="00B3320D">
            <w:pPr>
              <w:pStyle w:val="Paragraph"/>
              <w:spacing w:before="0" w:after="0"/>
              <w:ind w:left="0" w:firstLine="0"/>
              <w:rPr>
                <w:rFonts w:ascii="Arial" w:hAnsi="Arial" w:cs="Arial"/>
                <w:szCs w:val="22"/>
              </w:rPr>
            </w:pPr>
            <w:r>
              <w:br w:type="page"/>
            </w:r>
          </w:p>
          <w:p w14:paraId="3732134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171A4A2F" w14:textId="77777777" w:rsidR="005601F1" w:rsidRPr="008C7BA6" w:rsidRDefault="005601F1" w:rsidP="00435A35">
            <w:pPr>
              <w:spacing w:line="276" w:lineRule="auto"/>
              <w:rPr>
                <w:rFonts w:cs="Arial"/>
                <w:sz w:val="22"/>
                <w:szCs w:val="22"/>
                <w:lang w:eastAsia="de-DE"/>
              </w:rPr>
            </w:pPr>
          </w:p>
        </w:tc>
      </w:tr>
      <w:tr w:rsidR="005601F1" w:rsidRPr="005601F1" w14:paraId="0CD4ABB4" w14:textId="77777777" w:rsidTr="005601F1">
        <w:trPr>
          <w:trHeight w:val="20"/>
        </w:trPr>
        <w:tc>
          <w:tcPr>
            <w:tcW w:w="9639" w:type="dxa"/>
          </w:tcPr>
          <w:p w14:paraId="259F26AB" w14:textId="77777777" w:rsidR="005601F1" w:rsidRPr="006609C7" w:rsidRDefault="005601F1" w:rsidP="00996FA8">
            <w:pPr>
              <w:pStyle w:val="Abstze"/>
              <w:numPr>
                <w:ilvl w:val="0"/>
                <w:numId w:val="14"/>
              </w:numPr>
              <w:spacing w:after="0"/>
              <w:ind w:left="567" w:hanging="567"/>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659B2B30" w14:textId="77777777" w:rsidR="005601F1" w:rsidRPr="00A752E3" w:rsidRDefault="005601F1" w:rsidP="000201D9">
            <w:pPr>
              <w:jc w:val="both"/>
              <w:rPr>
                <w:rFonts w:cs="Arial"/>
                <w:lang w:eastAsia="de-DE"/>
              </w:rPr>
            </w:pPr>
          </w:p>
        </w:tc>
      </w:tr>
      <w:tr w:rsidR="005601F1" w:rsidRPr="005601F1" w14:paraId="268AFAD7" w14:textId="77777777" w:rsidTr="005601F1">
        <w:trPr>
          <w:trHeight w:val="20"/>
        </w:trPr>
        <w:tc>
          <w:tcPr>
            <w:tcW w:w="9639" w:type="dxa"/>
          </w:tcPr>
          <w:p w14:paraId="55CBD502" w14:textId="77777777" w:rsidR="005601F1" w:rsidRPr="005574B1"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Geheimhaltungsvereinbarung öffentlich bekannt werden,</w:t>
            </w:r>
          </w:p>
          <w:p w14:paraId="07B7858C" w14:textId="77777777" w:rsidR="005601F1" w:rsidRPr="00A752E3" w:rsidRDefault="005601F1" w:rsidP="000201D9">
            <w:pPr>
              <w:jc w:val="both"/>
              <w:rPr>
                <w:rFonts w:cs="Arial"/>
                <w:lang w:eastAsia="de-DE"/>
              </w:rPr>
            </w:pPr>
          </w:p>
        </w:tc>
      </w:tr>
      <w:tr w:rsidR="005601F1" w:rsidRPr="005601F1" w14:paraId="0E22B3F6" w14:textId="77777777" w:rsidTr="005601F1">
        <w:trPr>
          <w:trHeight w:val="20"/>
        </w:trPr>
        <w:tc>
          <w:tcPr>
            <w:tcW w:w="9639" w:type="dxa"/>
          </w:tcPr>
          <w:p w14:paraId="3CC5DFAD" w14:textId="77777777" w:rsidR="005601F1" w:rsidRPr="005574B1"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lastRenderedPageBreak/>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0A09D13D" w14:textId="77777777" w:rsidTr="005601F1">
        <w:trPr>
          <w:trHeight w:val="20"/>
        </w:trPr>
        <w:tc>
          <w:tcPr>
            <w:tcW w:w="9639" w:type="dxa"/>
          </w:tcPr>
          <w:p w14:paraId="645E9C1D" w14:textId="77777777" w:rsidR="005601F1" w:rsidRPr="00967F1B" w:rsidRDefault="005601F1" w:rsidP="00996FA8">
            <w:pPr>
              <w:pStyle w:val="Abstze"/>
              <w:numPr>
                <w:ilvl w:val="0"/>
                <w:numId w:val="12"/>
              </w:numPr>
              <w:spacing w:after="0"/>
              <w:ind w:left="771" w:hanging="357"/>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1C97E3C6" w14:textId="77777777" w:rsidR="005601F1" w:rsidRPr="00A752E3" w:rsidRDefault="005601F1" w:rsidP="000201D9">
            <w:pPr>
              <w:jc w:val="both"/>
              <w:rPr>
                <w:rFonts w:cs="Arial"/>
                <w:lang w:eastAsia="de-DE"/>
              </w:rPr>
            </w:pPr>
          </w:p>
        </w:tc>
      </w:tr>
      <w:tr w:rsidR="005601F1" w:rsidRPr="005601F1" w14:paraId="6C060DA3" w14:textId="77777777" w:rsidTr="005601F1">
        <w:trPr>
          <w:trHeight w:val="20"/>
        </w:trPr>
        <w:tc>
          <w:tcPr>
            <w:tcW w:w="9639" w:type="dxa"/>
          </w:tcPr>
          <w:p w14:paraId="35ACCE61" w14:textId="77777777" w:rsidR="005601F1" w:rsidRPr="006609C7" w:rsidRDefault="005601F1" w:rsidP="00996FA8">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41762213" w14:textId="77777777" w:rsidR="005601F1" w:rsidRPr="00A752E3" w:rsidRDefault="005601F1" w:rsidP="000201D9">
            <w:pPr>
              <w:jc w:val="both"/>
              <w:rPr>
                <w:rFonts w:cs="Arial"/>
                <w:lang w:eastAsia="de-DE"/>
              </w:rPr>
            </w:pPr>
          </w:p>
        </w:tc>
      </w:tr>
      <w:tr w:rsidR="005601F1" w:rsidRPr="005601F1" w14:paraId="3C736D7C" w14:textId="77777777" w:rsidTr="005601F1">
        <w:trPr>
          <w:trHeight w:val="20"/>
        </w:trPr>
        <w:tc>
          <w:tcPr>
            <w:tcW w:w="9639" w:type="dxa"/>
          </w:tcPr>
          <w:p w14:paraId="3F462525" w14:textId="77777777" w:rsidR="005601F1" w:rsidRPr="006609C7" w:rsidRDefault="005601F1" w:rsidP="00996FA8">
            <w:pPr>
              <w:pStyle w:val="Abstze"/>
              <w:numPr>
                <w:ilvl w:val="0"/>
                <w:numId w:val="14"/>
              </w:numPr>
              <w:spacing w:after="0"/>
              <w:ind w:left="567" w:hanging="567"/>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010BCAE5" w14:textId="77777777" w:rsidR="005601F1" w:rsidRPr="00A752E3" w:rsidRDefault="005601F1" w:rsidP="000201D9">
            <w:pPr>
              <w:spacing w:line="260" w:lineRule="atLeast"/>
              <w:jc w:val="both"/>
              <w:rPr>
                <w:rFonts w:cs="Arial"/>
                <w:lang w:eastAsia="de-DE"/>
              </w:rPr>
            </w:pPr>
          </w:p>
        </w:tc>
      </w:tr>
      <w:tr w:rsidR="005601F1" w:rsidRPr="008C7BA6" w14:paraId="5EFBC527" w14:textId="77777777" w:rsidTr="005601F1">
        <w:trPr>
          <w:trHeight w:val="20"/>
        </w:trPr>
        <w:tc>
          <w:tcPr>
            <w:tcW w:w="9639" w:type="dxa"/>
          </w:tcPr>
          <w:p w14:paraId="333C1407"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22D917A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7D6D239A" w14:textId="77777777" w:rsidR="005601F1" w:rsidRPr="008C7BA6" w:rsidRDefault="005601F1" w:rsidP="00B3320D">
            <w:pPr>
              <w:spacing w:line="260" w:lineRule="atLeast"/>
              <w:rPr>
                <w:rFonts w:cs="Arial"/>
                <w:sz w:val="22"/>
                <w:szCs w:val="22"/>
                <w:lang w:eastAsia="de-DE"/>
              </w:rPr>
            </w:pPr>
          </w:p>
        </w:tc>
      </w:tr>
      <w:tr w:rsidR="005601F1" w:rsidRPr="005601F1" w14:paraId="068D3D2A" w14:textId="77777777" w:rsidTr="005601F1">
        <w:trPr>
          <w:trHeight w:val="20"/>
        </w:trPr>
        <w:tc>
          <w:tcPr>
            <w:tcW w:w="9639" w:type="dxa"/>
          </w:tcPr>
          <w:p w14:paraId="7BC74CE5" w14:textId="77777777" w:rsidR="005601F1" w:rsidRPr="000201D9" w:rsidRDefault="005601F1" w:rsidP="00996FA8">
            <w:pPr>
              <w:pStyle w:val="Abstze"/>
              <w:numPr>
                <w:ilvl w:val="0"/>
                <w:numId w:val="15"/>
              </w:numPr>
              <w:spacing w:after="0"/>
              <w:ind w:left="567" w:hanging="567"/>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w:t>
            </w:r>
            <w:r w:rsidR="000201D9">
              <w:rPr>
                <w:rFonts w:ascii="Arial" w:hAnsi="Arial" w:cs="Arial"/>
                <w:szCs w:val="20"/>
              </w:rPr>
              <w:t xml:space="preserve"> </w:t>
            </w:r>
            <w:r w:rsidRPr="006609C7">
              <w:rPr>
                <w:rFonts w:ascii="Arial" w:hAnsi="Arial" w:cs="Arial"/>
                <w:szCs w:val="20"/>
              </w:rPr>
              <w:t>/</w:t>
            </w:r>
            <w:r w:rsidR="000201D9">
              <w:rPr>
                <w:rFonts w:ascii="Arial" w:hAnsi="Arial" w:cs="Arial"/>
                <w:szCs w:val="20"/>
              </w:rPr>
              <w:t xml:space="preserve"> </w:t>
            </w:r>
            <w:r w:rsidRPr="006609C7">
              <w:rPr>
                <w:rFonts w:ascii="Arial" w:hAnsi="Arial" w:cs="Arial"/>
                <w:szCs w:val="20"/>
              </w:rPr>
              <w:t>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27DDE454" w14:textId="77777777" w:rsidR="005601F1" w:rsidRPr="00A752E3" w:rsidRDefault="005601F1" w:rsidP="000201D9">
            <w:pPr>
              <w:pStyle w:val="Abstze"/>
              <w:numPr>
                <w:ilvl w:val="0"/>
                <w:numId w:val="0"/>
              </w:numPr>
              <w:spacing w:after="0"/>
              <w:ind w:left="567"/>
              <w:rPr>
                <w:rFonts w:cs="Arial"/>
              </w:rPr>
            </w:pPr>
          </w:p>
        </w:tc>
      </w:tr>
      <w:tr w:rsidR="005601F1" w:rsidRPr="005601F1" w14:paraId="32B995FD" w14:textId="77777777" w:rsidTr="005601F1">
        <w:trPr>
          <w:trHeight w:val="20"/>
        </w:trPr>
        <w:tc>
          <w:tcPr>
            <w:tcW w:w="9639" w:type="dxa"/>
          </w:tcPr>
          <w:p w14:paraId="73703525" w14:textId="77777777" w:rsidR="005601F1" w:rsidRPr="000201D9" w:rsidRDefault="005601F1" w:rsidP="00996FA8">
            <w:pPr>
              <w:pStyle w:val="Abstze"/>
              <w:numPr>
                <w:ilvl w:val="0"/>
                <w:numId w:val="15"/>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en Informationen in Deutschland oder einem anderen Land Patente und</w:t>
            </w:r>
            <w:r w:rsidR="000201D9">
              <w:rPr>
                <w:rFonts w:ascii="Arial" w:hAnsi="Arial" w:cs="Arial"/>
                <w:szCs w:val="20"/>
              </w:rPr>
              <w:t xml:space="preserve"> </w:t>
            </w:r>
            <w:r w:rsidRPr="006609C7">
              <w:rPr>
                <w:rFonts w:ascii="Arial" w:hAnsi="Arial" w:cs="Arial"/>
                <w:szCs w:val="20"/>
              </w:rPr>
              <w:t>/</w:t>
            </w:r>
            <w:r w:rsidR="000201D9">
              <w:rPr>
                <w:rFonts w:ascii="Arial" w:hAnsi="Arial" w:cs="Arial"/>
                <w:szCs w:val="20"/>
              </w:rPr>
              <w:t xml:space="preserve"> </w:t>
            </w:r>
            <w:r w:rsidRPr="006609C7">
              <w:rPr>
                <w:rFonts w:ascii="Arial" w:hAnsi="Arial" w:cs="Arial"/>
                <w:szCs w:val="20"/>
              </w:rPr>
              <w:t>oder andere Schutzrechte anzumelden. Angemeldete Patente und</w:t>
            </w:r>
            <w:r w:rsidR="000201D9">
              <w:rPr>
                <w:rFonts w:ascii="Arial" w:hAnsi="Arial" w:cs="Arial"/>
                <w:szCs w:val="20"/>
              </w:rPr>
              <w:t xml:space="preserve"> </w:t>
            </w:r>
            <w:r w:rsidRPr="006609C7">
              <w:rPr>
                <w:rFonts w:ascii="Arial" w:hAnsi="Arial" w:cs="Arial"/>
                <w:szCs w:val="20"/>
              </w:rPr>
              <w:t>/</w:t>
            </w:r>
            <w:r w:rsidR="000201D9">
              <w:rPr>
                <w:rFonts w:ascii="Arial" w:hAnsi="Arial" w:cs="Arial"/>
                <w:szCs w:val="20"/>
              </w:rPr>
              <w:t xml:space="preserve"> </w:t>
            </w:r>
            <w:r w:rsidRPr="006609C7">
              <w:rPr>
                <w:rFonts w:ascii="Arial" w:hAnsi="Arial" w:cs="Arial"/>
                <w:szCs w:val="20"/>
              </w:rPr>
              <w:t xml:space="preserve">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2B3B1D2" w14:textId="77777777" w:rsidR="005601F1" w:rsidRPr="006609C7" w:rsidRDefault="005601F1" w:rsidP="000201D9">
            <w:pPr>
              <w:pStyle w:val="Abstze"/>
              <w:numPr>
                <w:ilvl w:val="0"/>
                <w:numId w:val="0"/>
              </w:numPr>
              <w:spacing w:after="0"/>
              <w:ind w:left="567"/>
              <w:rPr>
                <w:rFonts w:ascii="Arial" w:hAnsi="Arial" w:cs="Arial"/>
                <w:szCs w:val="20"/>
              </w:rPr>
            </w:pPr>
          </w:p>
        </w:tc>
      </w:tr>
      <w:tr w:rsidR="005601F1" w:rsidRPr="005601F1" w14:paraId="79F3E681" w14:textId="77777777" w:rsidTr="005601F1">
        <w:trPr>
          <w:trHeight w:val="20"/>
        </w:trPr>
        <w:tc>
          <w:tcPr>
            <w:tcW w:w="9639" w:type="dxa"/>
          </w:tcPr>
          <w:p w14:paraId="14BBD671" w14:textId="77777777" w:rsidR="005601F1" w:rsidRPr="006609C7" w:rsidRDefault="005601F1" w:rsidP="00996FA8">
            <w:pPr>
              <w:pStyle w:val="Abstze"/>
              <w:numPr>
                <w:ilvl w:val="0"/>
                <w:numId w:val="15"/>
              </w:numPr>
              <w:spacing w:after="0"/>
              <w:ind w:left="567" w:hanging="567"/>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p>
          <w:p w14:paraId="051E6421" w14:textId="77777777" w:rsidR="005601F1" w:rsidRPr="00A752E3" w:rsidRDefault="005601F1" w:rsidP="000201D9">
            <w:pPr>
              <w:spacing w:line="260" w:lineRule="atLeast"/>
              <w:jc w:val="both"/>
              <w:rPr>
                <w:rFonts w:cs="Arial"/>
                <w:lang w:eastAsia="de-DE"/>
              </w:rPr>
            </w:pPr>
          </w:p>
        </w:tc>
      </w:tr>
      <w:tr w:rsidR="005601F1" w:rsidRPr="008C7BA6" w14:paraId="4D936B62" w14:textId="77777777" w:rsidTr="005601F1">
        <w:trPr>
          <w:trHeight w:val="20"/>
        </w:trPr>
        <w:tc>
          <w:tcPr>
            <w:tcW w:w="9639" w:type="dxa"/>
          </w:tcPr>
          <w:p w14:paraId="1CDEDCA0" w14:textId="77777777" w:rsidR="005601F1" w:rsidRPr="0087450E" w:rsidRDefault="005601F1" w:rsidP="00640E03">
            <w:pPr>
              <w:pStyle w:val="Abstze"/>
              <w:numPr>
                <w:ilvl w:val="0"/>
                <w:numId w:val="0"/>
              </w:numPr>
              <w:spacing w:after="0"/>
              <w:rPr>
                <w:rFonts w:ascii="Arial" w:hAnsi="Arial" w:cs="Arial"/>
                <w:sz w:val="22"/>
                <w:szCs w:val="22"/>
              </w:rPr>
            </w:pPr>
          </w:p>
          <w:p w14:paraId="2CC2A00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4182AF7F" w14:textId="77777777" w:rsidR="005601F1" w:rsidRPr="008C7BA6" w:rsidRDefault="005601F1" w:rsidP="00B3320D">
            <w:pPr>
              <w:spacing w:line="260" w:lineRule="atLeast"/>
              <w:rPr>
                <w:rFonts w:cs="Arial"/>
                <w:sz w:val="22"/>
                <w:szCs w:val="22"/>
                <w:lang w:eastAsia="de-DE"/>
              </w:rPr>
            </w:pPr>
          </w:p>
        </w:tc>
      </w:tr>
      <w:tr w:rsidR="005601F1" w:rsidRPr="005601F1" w14:paraId="0957BA88" w14:textId="77777777" w:rsidTr="005601F1">
        <w:trPr>
          <w:trHeight w:val="20"/>
        </w:trPr>
        <w:tc>
          <w:tcPr>
            <w:tcW w:w="9639" w:type="dxa"/>
          </w:tcPr>
          <w:p w14:paraId="2B8B7D0C" w14:textId="77777777" w:rsidR="005601F1" w:rsidRPr="00D00685" w:rsidRDefault="005601F1" w:rsidP="000201D9">
            <w:pPr>
              <w:pStyle w:val="Abstze"/>
              <w:numPr>
                <w:ilvl w:val="0"/>
                <w:numId w:val="0"/>
              </w:numPr>
              <w:spacing w:after="0"/>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21490529" w14:textId="77777777" w:rsidR="005601F1" w:rsidRPr="00A752E3" w:rsidRDefault="005601F1" w:rsidP="000201D9">
            <w:pPr>
              <w:spacing w:line="260" w:lineRule="atLeast"/>
              <w:jc w:val="both"/>
              <w:rPr>
                <w:rFonts w:cs="Arial"/>
                <w:lang w:eastAsia="de-DE"/>
              </w:rPr>
            </w:pPr>
          </w:p>
        </w:tc>
      </w:tr>
      <w:tr w:rsidR="005601F1" w:rsidRPr="007B3D4A" w14:paraId="374B75C2" w14:textId="77777777" w:rsidTr="005601F1">
        <w:trPr>
          <w:trHeight w:val="20"/>
        </w:trPr>
        <w:tc>
          <w:tcPr>
            <w:tcW w:w="9639" w:type="dxa"/>
          </w:tcPr>
          <w:p w14:paraId="059BB592" w14:textId="77777777" w:rsidR="005601F1" w:rsidRPr="0087450E" w:rsidRDefault="005601F1" w:rsidP="00640E03">
            <w:pPr>
              <w:pStyle w:val="Abstze"/>
              <w:numPr>
                <w:ilvl w:val="0"/>
                <w:numId w:val="0"/>
              </w:numPr>
              <w:spacing w:after="0"/>
              <w:rPr>
                <w:rFonts w:ascii="Arial" w:hAnsi="Arial" w:cs="Arial"/>
                <w:sz w:val="22"/>
                <w:szCs w:val="22"/>
              </w:rPr>
            </w:pPr>
          </w:p>
          <w:p w14:paraId="4191646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01C680E5" w14:textId="77777777" w:rsidR="005601F1" w:rsidRPr="008C7BA6" w:rsidRDefault="005601F1" w:rsidP="00B3320D">
            <w:pPr>
              <w:spacing w:line="260" w:lineRule="atLeast"/>
              <w:rPr>
                <w:rFonts w:cs="Arial"/>
                <w:sz w:val="22"/>
                <w:szCs w:val="22"/>
                <w:lang w:eastAsia="de-DE"/>
              </w:rPr>
            </w:pPr>
          </w:p>
        </w:tc>
      </w:tr>
      <w:tr w:rsidR="005601F1" w:rsidRPr="005601F1" w14:paraId="3A5D8AE3" w14:textId="77777777" w:rsidTr="005601F1">
        <w:trPr>
          <w:trHeight w:val="20"/>
        </w:trPr>
        <w:tc>
          <w:tcPr>
            <w:tcW w:w="9639" w:type="dxa"/>
          </w:tcPr>
          <w:p w14:paraId="64F15F87" w14:textId="77777777" w:rsidR="005601F1" w:rsidRPr="00D00685" w:rsidRDefault="005601F1" w:rsidP="000201D9">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1AEABCE6" w14:textId="77777777" w:rsidR="005601F1" w:rsidRPr="00A752E3" w:rsidRDefault="005601F1" w:rsidP="000201D9">
            <w:pPr>
              <w:spacing w:line="260" w:lineRule="atLeast"/>
              <w:jc w:val="both"/>
              <w:rPr>
                <w:rFonts w:cs="Arial"/>
                <w:lang w:eastAsia="de-DE"/>
              </w:rPr>
            </w:pPr>
          </w:p>
        </w:tc>
      </w:tr>
      <w:tr w:rsidR="005601F1" w:rsidRPr="008C7BA6" w14:paraId="6305A503" w14:textId="77777777" w:rsidTr="005601F1">
        <w:trPr>
          <w:trHeight w:val="20"/>
        </w:trPr>
        <w:tc>
          <w:tcPr>
            <w:tcW w:w="9639" w:type="dxa"/>
          </w:tcPr>
          <w:p w14:paraId="31A5FD4F" w14:textId="77777777" w:rsidR="005601F1" w:rsidRPr="005601F1" w:rsidRDefault="005601F1" w:rsidP="00640E03">
            <w:pPr>
              <w:pStyle w:val="Abstze"/>
              <w:numPr>
                <w:ilvl w:val="0"/>
                <w:numId w:val="0"/>
              </w:numPr>
              <w:spacing w:after="0"/>
              <w:rPr>
                <w:rFonts w:ascii="Arial" w:hAnsi="Arial" w:cs="Arial"/>
                <w:sz w:val="22"/>
                <w:szCs w:val="22"/>
              </w:rPr>
            </w:pPr>
          </w:p>
          <w:p w14:paraId="47F3872E"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6495D47D" w14:textId="77777777" w:rsidR="005601F1" w:rsidRPr="008C7BA6" w:rsidRDefault="005601F1" w:rsidP="00B3320D">
            <w:pPr>
              <w:spacing w:line="260" w:lineRule="atLeast"/>
              <w:rPr>
                <w:rFonts w:cs="Arial"/>
                <w:sz w:val="22"/>
                <w:szCs w:val="22"/>
                <w:lang w:eastAsia="de-DE"/>
              </w:rPr>
            </w:pPr>
          </w:p>
        </w:tc>
      </w:tr>
      <w:tr w:rsidR="005601F1" w:rsidRPr="005601F1" w14:paraId="7A9069AE" w14:textId="77777777" w:rsidTr="005601F1">
        <w:trPr>
          <w:trHeight w:val="20"/>
        </w:trPr>
        <w:tc>
          <w:tcPr>
            <w:tcW w:w="9639" w:type="dxa"/>
          </w:tcPr>
          <w:p w14:paraId="6A98499E" w14:textId="77777777" w:rsidR="005601F1" w:rsidRPr="00D00685" w:rsidRDefault="005601F1" w:rsidP="000201D9">
            <w:pPr>
              <w:pStyle w:val="Abstze"/>
              <w:numPr>
                <w:ilvl w:val="0"/>
                <w:numId w:val="0"/>
              </w:numPr>
              <w:spacing w:after="0"/>
              <w:rPr>
                <w:rFonts w:ascii="Arial" w:hAnsi="Arial" w:cs="Arial"/>
                <w:szCs w:val="20"/>
              </w:rPr>
            </w:pPr>
            <w:r w:rsidRPr="00D00685">
              <w:rPr>
                <w:rFonts w:ascii="Arial" w:hAnsi="Arial" w:cs="Arial"/>
                <w:szCs w:val="20"/>
              </w:rPr>
              <w:t>Die Vereinbarung tritt mit Unterzeichnung durch beide Parteien in Kraft und gilt ab diesem Zeitpunkt für 5 Jahre.</w:t>
            </w:r>
            <w:r>
              <w:rPr>
                <w:rFonts w:ascii="Arial" w:hAnsi="Arial" w:cs="Arial"/>
                <w:szCs w:val="20"/>
              </w:rPr>
              <w:t xml:space="preserve"> </w:t>
            </w:r>
            <w:r w:rsidRPr="002B5DB5">
              <w:rPr>
                <w:rFonts w:ascii="Arial" w:hAnsi="Arial" w:cs="Arial"/>
                <w:szCs w:val="20"/>
              </w:rPr>
              <w:t>Die Verpflichtungen zur Vertraulichkeit gelten für 3 weitere Jahre nach Ablauf dieser Vereinbarung.</w:t>
            </w:r>
          </w:p>
          <w:p w14:paraId="6F4D10F5" w14:textId="77777777" w:rsidR="005601F1" w:rsidRPr="00A752E3" w:rsidRDefault="005601F1" w:rsidP="000201D9">
            <w:pPr>
              <w:spacing w:line="260" w:lineRule="atLeast"/>
              <w:jc w:val="both"/>
              <w:rPr>
                <w:rFonts w:cs="Arial"/>
                <w:lang w:eastAsia="de-DE"/>
              </w:rPr>
            </w:pPr>
          </w:p>
        </w:tc>
      </w:tr>
      <w:tr w:rsidR="005601F1" w:rsidRPr="005601F1" w14:paraId="70043B94" w14:textId="77777777" w:rsidTr="005601F1">
        <w:trPr>
          <w:trHeight w:val="20"/>
        </w:trPr>
        <w:tc>
          <w:tcPr>
            <w:tcW w:w="9639" w:type="dxa"/>
          </w:tcPr>
          <w:p w14:paraId="6C262181"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lastRenderedPageBreak/>
              <w:t xml:space="preserve">Artikel </w:t>
            </w:r>
            <w:r>
              <w:rPr>
                <w:rFonts w:ascii="Arial" w:hAnsi="Arial" w:cs="Arial"/>
                <w:szCs w:val="22"/>
              </w:rPr>
              <w:t>8</w:t>
            </w:r>
            <w:r w:rsidRPr="008C7BA6">
              <w:rPr>
                <w:rFonts w:ascii="Arial" w:hAnsi="Arial" w:cs="Arial"/>
                <w:szCs w:val="22"/>
              </w:rPr>
              <w:t xml:space="preserve"> - Gerichtsstand und anwendbares Recht</w:t>
            </w:r>
          </w:p>
          <w:p w14:paraId="0DE046AE" w14:textId="77777777" w:rsidR="005601F1" w:rsidRPr="008C7BA6" w:rsidRDefault="005601F1" w:rsidP="00B3320D">
            <w:pPr>
              <w:spacing w:line="260" w:lineRule="atLeast"/>
              <w:rPr>
                <w:rFonts w:cs="Arial"/>
                <w:sz w:val="22"/>
                <w:szCs w:val="22"/>
                <w:lang w:eastAsia="de-DE"/>
              </w:rPr>
            </w:pPr>
          </w:p>
        </w:tc>
      </w:tr>
      <w:tr w:rsidR="005601F1" w:rsidRPr="005601F1" w14:paraId="2BEE5583" w14:textId="77777777" w:rsidTr="005601F1">
        <w:trPr>
          <w:trHeight w:val="20"/>
        </w:trPr>
        <w:tc>
          <w:tcPr>
            <w:tcW w:w="9639" w:type="dxa"/>
          </w:tcPr>
          <w:p w14:paraId="6D6E89B5" w14:textId="77777777" w:rsidR="005601F1" w:rsidRPr="00A678FA" w:rsidRDefault="005601F1" w:rsidP="00996FA8">
            <w:pPr>
              <w:pStyle w:val="Listenabsatz"/>
              <w:numPr>
                <w:ilvl w:val="0"/>
                <w:numId w:val="17"/>
              </w:numPr>
              <w:spacing w:after="0"/>
              <w:ind w:left="567" w:hanging="567"/>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44A5E927" w14:textId="77777777" w:rsidR="005601F1" w:rsidRPr="00A752E3" w:rsidRDefault="005601F1" w:rsidP="000201D9">
            <w:pPr>
              <w:spacing w:line="260" w:lineRule="atLeast"/>
              <w:jc w:val="both"/>
              <w:rPr>
                <w:rFonts w:cs="Arial"/>
                <w:lang w:eastAsia="de-DE"/>
              </w:rPr>
            </w:pPr>
          </w:p>
        </w:tc>
      </w:tr>
      <w:tr w:rsidR="005601F1" w:rsidRPr="005601F1" w14:paraId="727E3AA8" w14:textId="77777777" w:rsidTr="005601F1">
        <w:trPr>
          <w:trHeight w:val="20"/>
        </w:trPr>
        <w:tc>
          <w:tcPr>
            <w:tcW w:w="9639" w:type="dxa"/>
          </w:tcPr>
          <w:p w14:paraId="71533BFB" w14:textId="77777777" w:rsidR="005601F1" w:rsidRPr="006221CE" w:rsidRDefault="005601F1" w:rsidP="00996FA8">
            <w:pPr>
              <w:pStyle w:val="Listenabsatz"/>
              <w:numPr>
                <w:ilvl w:val="0"/>
                <w:numId w:val="17"/>
              </w:numPr>
              <w:spacing w:after="0"/>
              <w:ind w:left="567" w:hanging="567"/>
              <w:rPr>
                <w:rFonts w:ascii="Arial" w:hAnsi="Arial" w:cs="Arial"/>
                <w:szCs w:val="20"/>
              </w:rPr>
            </w:pPr>
            <w:r w:rsidRPr="000739E4">
              <w:rPr>
                <w:rFonts w:ascii="Arial" w:hAnsi="Arial" w:cs="Arial"/>
                <w:szCs w:val="20"/>
              </w:rPr>
              <w:t>Es gilt das Recht der Bundesrepublik Deutschland. Das UN-Kaufrecht vom 11.</w:t>
            </w:r>
            <w:r w:rsidR="000201D9">
              <w:rPr>
                <w:rFonts w:ascii="Arial" w:hAnsi="Arial" w:cs="Arial"/>
                <w:szCs w:val="20"/>
              </w:rPr>
              <w:t>0</w:t>
            </w:r>
            <w:r w:rsidRPr="000739E4">
              <w:rPr>
                <w:rFonts w:ascii="Arial" w:hAnsi="Arial" w:cs="Arial"/>
                <w:szCs w:val="20"/>
              </w:rPr>
              <w:t>4.1980 findet keine Anwendung</w:t>
            </w:r>
            <w:r w:rsidRPr="006221CE">
              <w:rPr>
                <w:rFonts w:ascii="Arial" w:hAnsi="Arial" w:cs="Arial"/>
                <w:szCs w:val="20"/>
              </w:rPr>
              <w:t>.</w:t>
            </w:r>
          </w:p>
          <w:p w14:paraId="213111A2" w14:textId="77777777" w:rsidR="005601F1" w:rsidRPr="008C7BA6" w:rsidRDefault="005601F1" w:rsidP="000201D9">
            <w:pPr>
              <w:spacing w:line="260" w:lineRule="atLeast"/>
              <w:jc w:val="both"/>
              <w:rPr>
                <w:rFonts w:cs="Arial"/>
                <w:sz w:val="22"/>
                <w:szCs w:val="22"/>
                <w:lang w:eastAsia="de-DE"/>
              </w:rPr>
            </w:pPr>
          </w:p>
        </w:tc>
      </w:tr>
      <w:tr w:rsidR="005601F1" w:rsidRPr="00B3320D" w14:paraId="7DC1236B" w14:textId="77777777" w:rsidTr="005601F1">
        <w:trPr>
          <w:trHeight w:val="20"/>
        </w:trPr>
        <w:tc>
          <w:tcPr>
            <w:tcW w:w="9639" w:type="dxa"/>
          </w:tcPr>
          <w:p w14:paraId="6F9D31D2" w14:textId="77777777" w:rsidR="005601F1" w:rsidRPr="0087450E" w:rsidRDefault="005601F1" w:rsidP="00640E03">
            <w:pPr>
              <w:pStyle w:val="Abstze"/>
              <w:numPr>
                <w:ilvl w:val="0"/>
                <w:numId w:val="0"/>
              </w:numPr>
              <w:spacing w:after="0"/>
              <w:rPr>
                <w:rFonts w:ascii="Arial" w:hAnsi="Arial" w:cs="Arial"/>
                <w:sz w:val="22"/>
                <w:szCs w:val="22"/>
              </w:rPr>
            </w:pPr>
          </w:p>
          <w:p w14:paraId="7C8D299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4E8274A1" w14:textId="77777777" w:rsidR="005601F1" w:rsidRPr="00A752E3" w:rsidRDefault="005601F1" w:rsidP="00B3320D">
            <w:pPr>
              <w:spacing w:line="260" w:lineRule="atLeast"/>
              <w:rPr>
                <w:rFonts w:cs="Arial"/>
                <w:lang w:eastAsia="de-DE"/>
              </w:rPr>
            </w:pPr>
          </w:p>
        </w:tc>
      </w:tr>
      <w:tr w:rsidR="005601F1" w:rsidRPr="005601F1" w14:paraId="7A2B80D8" w14:textId="77777777" w:rsidTr="005601F1">
        <w:trPr>
          <w:trHeight w:val="20"/>
        </w:trPr>
        <w:tc>
          <w:tcPr>
            <w:tcW w:w="9639" w:type="dxa"/>
          </w:tcPr>
          <w:p w14:paraId="7578C564" w14:textId="77777777" w:rsidR="005601F1" w:rsidRPr="00D00685" w:rsidRDefault="005601F1" w:rsidP="000201D9">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539818B" w14:textId="77777777" w:rsidR="005601F1" w:rsidRPr="000739E4" w:rsidRDefault="005601F1" w:rsidP="000201D9">
            <w:pPr>
              <w:spacing w:line="260" w:lineRule="atLeast"/>
              <w:jc w:val="both"/>
              <w:rPr>
                <w:rFonts w:cs="Arial"/>
              </w:rPr>
            </w:pPr>
          </w:p>
        </w:tc>
      </w:tr>
      <w:tr w:rsidR="005601F1" w:rsidRPr="008C7BA6" w14:paraId="454A95E7" w14:textId="77777777" w:rsidTr="005601F1">
        <w:trPr>
          <w:trHeight w:val="20"/>
        </w:trPr>
        <w:tc>
          <w:tcPr>
            <w:tcW w:w="9639" w:type="dxa"/>
          </w:tcPr>
          <w:p w14:paraId="71FAC604" w14:textId="77777777" w:rsidR="005601F1" w:rsidRPr="0087450E" w:rsidRDefault="005601F1" w:rsidP="00640E03">
            <w:pPr>
              <w:pStyle w:val="Abstze"/>
              <w:numPr>
                <w:ilvl w:val="0"/>
                <w:numId w:val="0"/>
              </w:numPr>
              <w:spacing w:after="0"/>
              <w:rPr>
                <w:rFonts w:ascii="Arial" w:hAnsi="Arial" w:cs="Arial"/>
                <w:sz w:val="22"/>
                <w:szCs w:val="22"/>
              </w:rPr>
            </w:pPr>
          </w:p>
          <w:p w14:paraId="3C8B88DB"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500E07B5" w14:textId="77777777" w:rsidR="005601F1" w:rsidRPr="008C7BA6" w:rsidRDefault="005601F1" w:rsidP="00B3320D">
            <w:pPr>
              <w:spacing w:line="260" w:lineRule="atLeast"/>
              <w:rPr>
                <w:rFonts w:cs="Arial"/>
                <w:sz w:val="22"/>
                <w:szCs w:val="22"/>
                <w:lang w:eastAsia="de-DE"/>
              </w:rPr>
            </w:pPr>
          </w:p>
        </w:tc>
      </w:tr>
      <w:tr w:rsidR="005601F1" w:rsidRPr="005601F1" w14:paraId="4B5CF168" w14:textId="77777777" w:rsidTr="005601F1">
        <w:trPr>
          <w:trHeight w:val="20"/>
        </w:trPr>
        <w:tc>
          <w:tcPr>
            <w:tcW w:w="9639" w:type="dxa"/>
          </w:tcPr>
          <w:p w14:paraId="59658F04" w14:textId="77777777" w:rsidR="005601F1" w:rsidRPr="00D00685" w:rsidRDefault="005601F1" w:rsidP="000201D9">
            <w:pPr>
              <w:pStyle w:val="Abstze"/>
              <w:numPr>
                <w:ilvl w:val="0"/>
                <w:numId w:val="0"/>
              </w:numPr>
              <w:spacing w:after="0"/>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282C6CF6" w14:textId="77777777" w:rsidR="005601F1" w:rsidRPr="00A752E3" w:rsidRDefault="005601F1" w:rsidP="000201D9">
            <w:pPr>
              <w:spacing w:line="260" w:lineRule="atLeast"/>
              <w:jc w:val="both"/>
              <w:rPr>
                <w:rFonts w:cs="Arial"/>
                <w:lang w:eastAsia="de-DE"/>
              </w:rPr>
            </w:pPr>
          </w:p>
        </w:tc>
      </w:tr>
      <w:tr w:rsidR="005601F1" w:rsidRPr="008C7BA6" w14:paraId="5E73C351" w14:textId="77777777" w:rsidTr="005601F1">
        <w:trPr>
          <w:trHeight w:val="20"/>
        </w:trPr>
        <w:tc>
          <w:tcPr>
            <w:tcW w:w="9639" w:type="dxa"/>
          </w:tcPr>
          <w:p w14:paraId="484EB51C" w14:textId="52E58A30" w:rsidR="005601F1" w:rsidRPr="0087450E" w:rsidRDefault="005601F1" w:rsidP="00640E03">
            <w:pPr>
              <w:pStyle w:val="Abstze"/>
              <w:numPr>
                <w:ilvl w:val="0"/>
                <w:numId w:val="0"/>
              </w:numPr>
              <w:spacing w:after="0"/>
              <w:rPr>
                <w:rFonts w:ascii="Arial" w:hAnsi="Arial" w:cs="Arial"/>
                <w:sz w:val="22"/>
                <w:szCs w:val="22"/>
              </w:rPr>
            </w:pPr>
          </w:p>
          <w:p w14:paraId="0E86DEC6"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1</w:t>
            </w:r>
            <w:r w:rsidRPr="008C7BA6">
              <w:rPr>
                <w:rFonts w:ascii="Arial" w:hAnsi="Arial" w:cs="Arial"/>
                <w:szCs w:val="22"/>
              </w:rPr>
              <w:t xml:space="preserve"> - Sonstiges</w:t>
            </w:r>
          </w:p>
          <w:p w14:paraId="671CFF1C" w14:textId="77777777" w:rsidR="005601F1" w:rsidRPr="008C7BA6" w:rsidRDefault="005601F1" w:rsidP="00B3320D">
            <w:pPr>
              <w:spacing w:line="260" w:lineRule="atLeast"/>
              <w:rPr>
                <w:rFonts w:cs="Arial"/>
                <w:sz w:val="22"/>
                <w:szCs w:val="22"/>
                <w:lang w:eastAsia="de-DE"/>
              </w:rPr>
            </w:pPr>
          </w:p>
        </w:tc>
      </w:tr>
      <w:tr w:rsidR="005601F1" w:rsidRPr="005601F1" w14:paraId="706BE59B" w14:textId="77777777" w:rsidTr="005601F1">
        <w:trPr>
          <w:trHeight w:val="20"/>
        </w:trPr>
        <w:tc>
          <w:tcPr>
            <w:tcW w:w="9639" w:type="dxa"/>
          </w:tcPr>
          <w:p w14:paraId="1A18D4B8" w14:textId="77777777" w:rsidR="005601F1" w:rsidRPr="00D00685" w:rsidRDefault="005601F1" w:rsidP="00996FA8">
            <w:pPr>
              <w:pStyle w:val="Listenabsatz"/>
              <w:numPr>
                <w:ilvl w:val="0"/>
                <w:numId w:val="18"/>
              </w:numPr>
              <w:spacing w:after="0"/>
              <w:ind w:left="567" w:hanging="567"/>
              <w:rPr>
                <w:rFonts w:ascii="Arial" w:hAnsi="Arial" w:cs="Arial"/>
                <w:szCs w:val="20"/>
              </w:rPr>
            </w:pPr>
            <w:r w:rsidRPr="00D00685">
              <w:rPr>
                <w:rFonts w:ascii="Arial" w:hAnsi="Arial" w:cs="Arial"/>
                <w:szCs w:val="20"/>
              </w:rPr>
              <w:t xml:space="preserve">Sollten eine oder mehrere Regelungen dieser Vereinbarung ganz oder teilweise unwirksam oder ganz oder teilweise undurchführbar sein oder werden, so betrifft dies nicht die Wirksamkeit oder Durchführbarkeit der übrigen Regelungen der Vereinbarung. Entsprechendes gilt für Lücken der Vereinbarung. Anstelle der unwirksamen oder </w:t>
            </w:r>
            <w:r w:rsidR="00E2053B">
              <w:rPr>
                <w:rFonts w:ascii="Arial" w:hAnsi="Arial" w:cs="Arial"/>
                <w:szCs w:val="20"/>
              </w:rPr>
              <w:t>un</w:t>
            </w:r>
            <w:r w:rsidRPr="00D00685">
              <w:rPr>
                <w:rFonts w:ascii="Arial" w:hAnsi="Arial" w:cs="Arial"/>
                <w:szCs w:val="20"/>
              </w:rPr>
              <w:t>durchführbaren Bestimmung werden die Parteien eine wirksame Regelung vereinbaren,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45A54599" w14:textId="77777777" w:rsidR="005601F1" w:rsidRPr="00A752E3" w:rsidRDefault="005601F1" w:rsidP="000201D9">
            <w:pPr>
              <w:spacing w:line="260" w:lineRule="atLeast"/>
              <w:jc w:val="both"/>
              <w:rPr>
                <w:rFonts w:cs="Arial"/>
                <w:lang w:eastAsia="de-DE"/>
              </w:rPr>
            </w:pPr>
          </w:p>
        </w:tc>
      </w:tr>
      <w:tr w:rsidR="005601F1" w:rsidRPr="005601F1" w14:paraId="7EDDB936" w14:textId="77777777" w:rsidTr="005601F1">
        <w:trPr>
          <w:trHeight w:val="20"/>
        </w:trPr>
        <w:tc>
          <w:tcPr>
            <w:tcW w:w="9639" w:type="dxa"/>
          </w:tcPr>
          <w:p w14:paraId="76546224" w14:textId="77777777" w:rsidR="005601F1" w:rsidRPr="00014C8B" w:rsidRDefault="005601F1" w:rsidP="00996FA8">
            <w:pPr>
              <w:pStyle w:val="Listenabsatz"/>
              <w:numPr>
                <w:ilvl w:val="0"/>
                <w:numId w:val="18"/>
              </w:numPr>
              <w:spacing w:after="0"/>
              <w:ind w:left="567" w:hanging="567"/>
              <w:rPr>
                <w:rFonts w:ascii="Arial" w:hAnsi="Arial" w:cs="Arial"/>
              </w:rPr>
            </w:pPr>
            <w:r w:rsidRPr="00014C8B">
              <w:rPr>
                <w:rFonts w:ascii="Arial" w:hAnsi="Arial" w:cs="Arial"/>
              </w:rPr>
              <w:t xml:space="preserve">Diese Vereinbarung geht allen vorher getroffenen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1E460294" w14:textId="77777777" w:rsidR="005601F1" w:rsidRPr="00014C8B" w:rsidRDefault="005601F1" w:rsidP="000201D9">
            <w:pPr>
              <w:spacing w:line="260" w:lineRule="atLeast"/>
              <w:jc w:val="both"/>
              <w:rPr>
                <w:rFonts w:cs="Arial"/>
                <w:lang w:eastAsia="de-DE"/>
              </w:rPr>
            </w:pPr>
          </w:p>
        </w:tc>
      </w:tr>
      <w:tr w:rsidR="005601F1" w:rsidRPr="005601F1" w14:paraId="7526C4A8" w14:textId="77777777" w:rsidTr="005601F1">
        <w:trPr>
          <w:trHeight w:val="20"/>
          <w:hidden/>
        </w:trPr>
        <w:tc>
          <w:tcPr>
            <w:tcW w:w="9639" w:type="dxa"/>
          </w:tcPr>
          <w:p w14:paraId="1B173778" w14:textId="77777777" w:rsidR="000201D9" w:rsidRPr="007260AE" w:rsidRDefault="000201D9" w:rsidP="007260AE">
            <w:pPr>
              <w:rPr>
                <w:rFonts w:cs="Arial"/>
                <w:vanish/>
              </w:rPr>
            </w:pPr>
          </w:p>
          <w:p w14:paraId="64B7AAF7" w14:textId="77777777" w:rsidR="005601F1" w:rsidRPr="007260AE" w:rsidRDefault="005601F1" w:rsidP="00996FA8">
            <w:pPr>
              <w:pStyle w:val="Listenabsatz"/>
              <w:numPr>
                <w:ilvl w:val="0"/>
                <w:numId w:val="18"/>
              </w:numPr>
              <w:spacing w:after="0"/>
              <w:ind w:left="567" w:hanging="567"/>
              <w:rPr>
                <w:rFonts w:ascii="Arial" w:hAnsi="Arial" w:cs="Arial"/>
              </w:rPr>
            </w:pPr>
            <w:r w:rsidRPr="007260AE">
              <w:rPr>
                <w:rFonts w:ascii="Arial" w:hAnsi="Arial" w:cs="Arial"/>
              </w:rPr>
              <w:t>Im Fall von Widersprüchen zwischen der deutschen und der englischen Fassung hat die deutsche Fassung Vorrang.</w:t>
            </w:r>
          </w:p>
        </w:tc>
      </w:tr>
      <w:tr w:rsidR="005601F1" w:rsidRPr="005601F1" w14:paraId="770B6075" w14:textId="77777777" w:rsidTr="005601F1">
        <w:trPr>
          <w:trHeight w:val="20"/>
        </w:trPr>
        <w:tc>
          <w:tcPr>
            <w:tcW w:w="9639" w:type="dxa"/>
          </w:tcPr>
          <w:p w14:paraId="6B5355B1" w14:textId="77777777" w:rsidR="005601F1" w:rsidRPr="005601F1" w:rsidRDefault="005601F1" w:rsidP="00B3320D">
            <w:pPr>
              <w:spacing w:line="260" w:lineRule="atLeast"/>
              <w:rPr>
                <w:rFonts w:cs="Arial"/>
                <w:lang w:eastAsia="de-DE"/>
              </w:rPr>
            </w:pPr>
          </w:p>
        </w:tc>
      </w:tr>
    </w:tbl>
    <w:p w14:paraId="2A8D666E" w14:textId="02A78CAB" w:rsidR="00030FCA" w:rsidRDefault="006221CE" w:rsidP="007260AE">
      <w:pPr>
        <w:tabs>
          <w:tab w:val="left" w:pos="1155"/>
        </w:tabs>
      </w:pPr>
      <w:r w:rsidRPr="006221CE">
        <w:rPr>
          <w:highlight w:val="yellow"/>
        </w:rPr>
        <w:t>_____________,__.__.____</w:t>
      </w:r>
    </w:p>
    <w:p w14:paraId="1CC05FD5" w14:textId="387185B2" w:rsidR="007260AE" w:rsidRDefault="007260AE" w:rsidP="007260AE">
      <w:pPr>
        <w:tabs>
          <w:tab w:val="left" w:pos="1155"/>
        </w:tabs>
      </w:pPr>
      <w:r>
        <w:t>Ort, Datum</w:t>
      </w:r>
    </w:p>
    <w:p w14:paraId="0A596960" w14:textId="70CC3297" w:rsidR="006221CE" w:rsidRDefault="006221CE" w:rsidP="007260AE">
      <w:pPr>
        <w:tabs>
          <w:tab w:val="left" w:pos="1155"/>
        </w:tabs>
      </w:pPr>
    </w:p>
    <w:p w14:paraId="64BDCD15" w14:textId="77777777" w:rsidR="006221CE" w:rsidRDefault="006221CE" w:rsidP="007260AE">
      <w:pPr>
        <w:tabs>
          <w:tab w:val="left" w:pos="1155"/>
        </w:tabs>
      </w:pPr>
    </w:p>
    <w:p w14:paraId="435C4CC4" w14:textId="6ACE0CED" w:rsidR="006221CE" w:rsidRPr="00AF0DF9" w:rsidRDefault="006221CE" w:rsidP="007260AE">
      <w:pPr>
        <w:tabs>
          <w:tab w:val="left" w:pos="1155"/>
        </w:tabs>
      </w:pPr>
      <w:r>
        <w:t>_______________________</w:t>
      </w:r>
    </w:p>
    <w:sectPr w:rsidR="006221CE" w:rsidRPr="00AF0DF9" w:rsidSect="00507862">
      <w:headerReference w:type="default" r:id="rId10"/>
      <w:headerReference w:type="first" r:id="rId11"/>
      <w:footerReference w:type="first" r:id="rId12"/>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F042" w14:textId="77777777" w:rsidR="00F64AEE" w:rsidRDefault="00F64AEE">
      <w:r>
        <w:separator/>
      </w:r>
    </w:p>
  </w:endnote>
  <w:endnote w:type="continuationSeparator" w:id="0">
    <w:p w14:paraId="4BCAD1DD" w14:textId="77777777" w:rsidR="00F64AEE" w:rsidRDefault="00F64AEE">
      <w:r>
        <w:continuationSeparator/>
      </w:r>
    </w:p>
  </w:endnote>
  <w:endnote w:type="continuationNotice" w:id="1">
    <w:p w14:paraId="7B8A2982" w14:textId="77777777" w:rsidR="00F64AEE" w:rsidRDefault="00F64A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7559"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18808E32" w14:textId="77777777" w:rsidTr="00E66589">
      <w:trPr>
        <w:trHeight w:val="260"/>
      </w:trPr>
      <w:tc>
        <w:tcPr>
          <w:tcW w:w="9617" w:type="dxa"/>
          <w:shd w:val="clear" w:color="auto" w:fill="auto"/>
        </w:tcPr>
        <w:p w14:paraId="059AA38A" w14:textId="77777777" w:rsidR="008B3BC9" w:rsidRPr="00BF4C87" w:rsidRDefault="008B3BC9" w:rsidP="00187EE1">
          <w:pPr>
            <w:spacing w:line="210" w:lineRule="exact"/>
            <w:rPr>
              <w:rStyle w:val="Huisstijl-Adres"/>
            </w:rPr>
          </w:pPr>
          <w:bookmarkStart w:id="6" w:name="bmAdres1" w:colFirst="0" w:colLast="0"/>
        </w:p>
      </w:tc>
    </w:tr>
    <w:bookmarkEnd w:id="6"/>
  </w:tbl>
  <w:p w14:paraId="16DBDC53"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E9C1" w14:textId="77777777" w:rsidR="00F64AEE" w:rsidRDefault="00F64AEE">
      <w:r>
        <w:separator/>
      </w:r>
    </w:p>
  </w:footnote>
  <w:footnote w:type="continuationSeparator" w:id="0">
    <w:p w14:paraId="729EF6EF" w14:textId="77777777" w:rsidR="00F64AEE" w:rsidRDefault="00F64AEE">
      <w:r>
        <w:continuationSeparator/>
      </w:r>
    </w:p>
  </w:footnote>
  <w:footnote w:type="continuationNotice" w:id="1">
    <w:p w14:paraId="1C1DD53F" w14:textId="77777777" w:rsidR="00F64AEE" w:rsidRDefault="00F64A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4CE0" w14:textId="0E15AB5A" w:rsidR="008B3BC9" w:rsidRDefault="007260AE" w:rsidP="0005438B">
    <w:r>
      <w:rPr>
        <w:rFonts w:cs="Arial"/>
        <w:noProof/>
      </w:rPr>
      <w:drawing>
        <wp:anchor distT="0" distB="0" distL="114300" distR="114300" simplePos="0" relativeHeight="251662848" behindDoc="0" locked="0" layoutInCell="1" allowOverlap="1" wp14:anchorId="705B620D" wp14:editId="7CCD7C10">
          <wp:simplePos x="0" y="0"/>
          <wp:positionH relativeFrom="column">
            <wp:posOffset>0</wp:posOffset>
          </wp:positionH>
          <wp:positionV relativeFrom="paragraph">
            <wp:posOffset>-635</wp:posOffset>
          </wp:positionV>
          <wp:extent cx="2052000" cy="651600"/>
          <wp:effectExtent l="0" t="0" r="5715" b="0"/>
          <wp:wrapNone/>
          <wp:docPr id="9" name="Grafik 9"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5F">
      <w:rPr>
        <w:noProof/>
        <w:lang w:eastAsia="de-DE"/>
      </w:rPr>
      <mc:AlternateContent>
        <mc:Choice Requires="wps">
          <w:drawing>
            <wp:anchor distT="0" distB="0" distL="114300" distR="114300" simplePos="0" relativeHeight="251656704" behindDoc="0" locked="0" layoutInCell="1" allowOverlap="1" wp14:anchorId="51285A02" wp14:editId="708A8B7A">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04E3EEE5" w14:textId="77777777" w:rsidTr="00786DE2">
                            <w:tc>
                              <w:tcPr>
                                <w:tcW w:w="4452" w:type="dxa"/>
                                <w:shd w:val="clear" w:color="auto" w:fill="auto"/>
                              </w:tcPr>
                              <w:p w14:paraId="106D9F67" w14:textId="052CE3F5"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w:t>
                                </w:r>
                                <w:r w:rsidR="00BC3A42">
                                  <w:rPr>
                                    <w:rStyle w:val="Huisstijl-Gegeven"/>
                                  </w:rPr>
                                  <w:t>GmbH &amp; Co. KG</w:t>
                                </w:r>
                              </w:p>
                              <w:p w14:paraId="5888FD0C" w14:textId="677400DE"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260AE" w:rsidRPr="007260AE">
                                  <w:rPr>
                                    <w:rStyle w:val="Huisstijl-Gegeven"/>
                                  </w:rPr>
                                  <w:fldChar w:fldCharType="begin"/>
                                </w:r>
                                <w:r w:rsidR="007260AE" w:rsidRPr="007260AE">
                                  <w:rPr>
                                    <w:rStyle w:val="Huisstijl-Gegeven"/>
                                  </w:rPr>
                                  <w:instrText xml:space="preserve"> TIME \@ "dd.MM.yyyy" </w:instrText>
                                </w:r>
                                <w:r w:rsidR="007260AE" w:rsidRPr="007260AE">
                                  <w:rPr>
                                    <w:rStyle w:val="Huisstijl-Gegeven"/>
                                  </w:rPr>
                                  <w:fldChar w:fldCharType="separate"/>
                                </w:r>
                                <w:r w:rsidR="00BC3A42">
                                  <w:rPr>
                                    <w:rStyle w:val="Huisstijl-Gegeven"/>
                                    <w:noProof/>
                                  </w:rPr>
                                  <w:t>29.11.2022</w:t>
                                </w:r>
                                <w:r w:rsidR="007260AE" w:rsidRPr="007260AE">
                                  <w:rPr>
                                    <w:rStyle w:val="Huisstijl-Gegeven"/>
                                  </w:rPr>
                                  <w:fldChar w:fldCharType="end"/>
                                </w:r>
                              </w:p>
                              <w:p w14:paraId="1A608BE7"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8165A6">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8165A6">
                                  <w:rPr>
                                    <w:rStyle w:val="Huisstijl-Gegeven"/>
                                    <w:noProof/>
                                    <w:szCs w:val="17"/>
                                  </w:rPr>
                                  <w:t>6</w:t>
                                </w:r>
                                <w:r w:rsidR="00BB0999">
                                  <w:rPr>
                                    <w:rStyle w:val="Huisstijl-Gegeven"/>
                                    <w:szCs w:val="17"/>
                                  </w:rPr>
                                  <w:fldChar w:fldCharType="end"/>
                                </w:r>
                              </w:p>
                            </w:tc>
                          </w:tr>
                          <w:bookmarkEnd w:id="1"/>
                        </w:tbl>
                        <w:p w14:paraId="37506FBA"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85A02"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04E3EEE5" w14:textId="77777777" w:rsidTr="00786DE2">
                      <w:tc>
                        <w:tcPr>
                          <w:tcW w:w="4452" w:type="dxa"/>
                          <w:shd w:val="clear" w:color="auto" w:fill="auto"/>
                        </w:tcPr>
                        <w:p w14:paraId="106D9F67" w14:textId="052CE3F5"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w:t>
                          </w:r>
                          <w:r w:rsidR="00BC3A42">
                            <w:rPr>
                              <w:rStyle w:val="Huisstijl-Gegeven"/>
                            </w:rPr>
                            <w:t>GmbH &amp; Co. KG</w:t>
                          </w:r>
                        </w:p>
                        <w:p w14:paraId="5888FD0C" w14:textId="677400DE"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260AE" w:rsidRPr="007260AE">
                            <w:rPr>
                              <w:rStyle w:val="Huisstijl-Gegeven"/>
                            </w:rPr>
                            <w:fldChar w:fldCharType="begin"/>
                          </w:r>
                          <w:r w:rsidR="007260AE" w:rsidRPr="007260AE">
                            <w:rPr>
                              <w:rStyle w:val="Huisstijl-Gegeven"/>
                            </w:rPr>
                            <w:instrText xml:space="preserve"> TIME \@ "dd.MM.yyyy" </w:instrText>
                          </w:r>
                          <w:r w:rsidR="007260AE" w:rsidRPr="007260AE">
                            <w:rPr>
                              <w:rStyle w:val="Huisstijl-Gegeven"/>
                            </w:rPr>
                            <w:fldChar w:fldCharType="separate"/>
                          </w:r>
                          <w:r w:rsidR="00BC3A42">
                            <w:rPr>
                              <w:rStyle w:val="Huisstijl-Gegeven"/>
                              <w:noProof/>
                            </w:rPr>
                            <w:t>29.11.2022</w:t>
                          </w:r>
                          <w:r w:rsidR="007260AE" w:rsidRPr="007260AE">
                            <w:rPr>
                              <w:rStyle w:val="Huisstijl-Gegeven"/>
                            </w:rPr>
                            <w:fldChar w:fldCharType="end"/>
                          </w:r>
                        </w:p>
                        <w:p w14:paraId="1A608BE7"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8165A6">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8165A6">
                            <w:rPr>
                              <w:rStyle w:val="Huisstijl-Gegeven"/>
                              <w:noProof/>
                              <w:szCs w:val="17"/>
                            </w:rPr>
                            <w:t>6</w:t>
                          </w:r>
                          <w:r w:rsidR="00BB0999">
                            <w:rPr>
                              <w:rStyle w:val="Huisstijl-Gegeven"/>
                              <w:szCs w:val="17"/>
                            </w:rPr>
                            <w:fldChar w:fldCharType="end"/>
                          </w:r>
                        </w:p>
                      </w:tc>
                    </w:tr>
                    <w:bookmarkEnd w:id="2"/>
                  </w:tbl>
                  <w:p w14:paraId="37506FBA"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E98C" w14:textId="09EDF613" w:rsidR="008B3BC9" w:rsidRPr="00201BE5" w:rsidRDefault="007260AE" w:rsidP="001172F0">
    <w:pPr>
      <w:rPr>
        <w:lang w:val="pt-BR"/>
      </w:rPr>
    </w:pPr>
    <w:r>
      <w:rPr>
        <w:rFonts w:cs="Arial"/>
        <w:noProof/>
      </w:rPr>
      <w:drawing>
        <wp:anchor distT="0" distB="0" distL="114300" distR="114300" simplePos="0" relativeHeight="251660800" behindDoc="0" locked="0" layoutInCell="1" allowOverlap="1" wp14:anchorId="0905E30A" wp14:editId="41E3A996">
          <wp:simplePos x="0" y="0"/>
          <wp:positionH relativeFrom="column">
            <wp:posOffset>0</wp:posOffset>
          </wp:positionH>
          <wp:positionV relativeFrom="paragraph">
            <wp:posOffset>-635</wp:posOffset>
          </wp:positionV>
          <wp:extent cx="2052000" cy="651600"/>
          <wp:effectExtent l="0" t="0" r="5715" b="0"/>
          <wp:wrapNone/>
          <wp:docPr id="10" name="Grafik 10"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713CF460" w14:textId="77777777" w:rsidTr="008378E5">
      <w:trPr>
        <w:cantSplit/>
        <w:trHeight w:val="567"/>
      </w:trPr>
      <w:tc>
        <w:tcPr>
          <w:tcW w:w="4718" w:type="dxa"/>
          <w:shd w:val="clear" w:color="auto" w:fill="auto"/>
        </w:tcPr>
        <w:p w14:paraId="7E9B8289" w14:textId="77777777" w:rsidR="008B3BC9" w:rsidRPr="00507862" w:rsidRDefault="008B3BC9" w:rsidP="00C15B2A">
          <w:pPr>
            <w:tabs>
              <w:tab w:val="left" w:pos="1077"/>
            </w:tabs>
            <w:spacing w:line="210" w:lineRule="exact"/>
            <w:ind w:left="1077" w:hanging="1077"/>
            <w:rPr>
              <w:rStyle w:val="Huisstijl-Naw"/>
            </w:rPr>
          </w:pPr>
          <w:bookmarkStart w:id="3" w:name="bmGegevens1" w:colFirst="2" w:colLast="2"/>
          <w:bookmarkStart w:id="4" w:name="bmNaw1" w:colFirst="0" w:colLast="0"/>
        </w:p>
      </w:tc>
      <w:tc>
        <w:tcPr>
          <w:tcW w:w="420" w:type="dxa"/>
        </w:tcPr>
        <w:p w14:paraId="2EEBCA71" w14:textId="77777777" w:rsidR="008B3BC9" w:rsidRDefault="008B3BC9" w:rsidP="00CE5761">
          <w:pPr>
            <w:spacing w:line="210" w:lineRule="exact"/>
          </w:pPr>
        </w:p>
      </w:tc>
      <w:tc>
        <w:tcPr>
          <w:tcW w:w="4478" w:type="dxa"/>
        </w:tcPr>
        <w:p w14:paraId="26C21084" w14:textId="009042AC"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BC3A42">
            <w:rPr>
              <w:rStyle w:val="Huisstijl-Gegeven"/>
              <w:noProof/>
              <w:szCs w:val="17"/>
            </w:rPr>
            <w:t>29.11.2022</w:t>
          </w:r>
          <w:r w:rsidR="00CF7EF6">
            <w:rPr>
              <w:rStyle w:val="Huisstijl-Gegeven"/>
              <w:szCs w:val="17"/>
            </w:rPr>
            <w:fldChar w:fldCharType="end"/>
          </w:r>
        </w:p>
        <w:p w14:paraId="7E006C05"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8165A6">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8165A6" w:rsidRPr="008165A6">
            <w:rPr>
              <w:rStyle w:val="Huisstijl-Gegeven"/>
              <w:noProof/>
            </w:rPr>
            <w:t>6</w:t>
          </w:r>
          <w:r w:rsidRPr="00525CBB">
            <w:rPr>
              <w:sz w:val="17"/>
              <w:szCs w:val="17"/>
            </w:rPr>
            <w:fldChar w:fldCharType="end"/>
          </w:r>
        </w:p>
      </w:tc>
    </w:tr>
    <w:bookmarkEnd w:id="3"/>
    <w:bookmarkEnd w:id="4"/>
    <w:tr w:rsidR="008378E5" w14:paraId="7575CCE5" w14:textId="77777777" w:rsidTr="002C349D">
      <w:trPr>
        <w:cantSplit/>
        <w:trHeight w:val="425"/>
      </w:trPr>
      <w:tc>
        <w:tcPr>
          <w:tcW w:w="9616" w:type="dxa"/>
          <w:gridSpan w:val="3"/>
          <w:shd w:val="clear" w:color="auto" w:fill="auto"/>
        </w:tcPr>
        <w:p w14:paraId="4A77EAC1" w14:textId="77777777" w:rsidR="008378E5" w:rsidRPr="00201BE5" w:rsidRDefault="008378E5" w:rsidP="00C305A8">
          <w:pPr>
            <w:tabs>
              <w:tab w:val="left" w:pos="1474"/>
            </w:tabs>
            <w:spacing w:line="210" w:lineRule="exact"/>
            <w:ind w:left="1474" w:hanging="1474"/>
            <w:rPr>
              <w:rStyle w:val="Huisstijl-Gegeven"/>
            </w:rPr>
          </w:pPr>
        </w:p>
      </w:tc>
    </w:tr>
    <w:tr w:rsidR="008B3BC9" w14:paraId="6520FC3C" w14:textId="77777777" w:rsidTr="008378E5">
      <w:trPr>
        <w:trHeight w:val="255"/>
      </w:trPr>
      <w:tc>
        <w:tcPr>
          <w:tcW w:w="9617" w:type="dxa"/>
          <w:gridSpan w:val="3"/>
          <w:shd w:val="clear" w:color="auto" w:fill="auto"/>
        </w:tcPr>
        <w:p w14:paraId="434264C7" w14:textId="430954EF"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5" w:name="bmOnderwerp1" w:colFirst="0" w:colLast="0"/>
        </w:p>
      </w:tc>
    </w:tr>
    <w:tr w:rsidR="009A540D" w14:paraId="76E73F40" w14:textId="77777777" w:rsidTr="008378E5">
      <w:trPr>
        <w:trHeight w:val="255"/>
      </w:trPr>
      <w:tc>
        <w:tcPr>
          <w:tcW w:w="9617" w:type="dxa"/>
          <w:gridSpan w:val="3"/>
          <w:shd w:val="clear" w:color="auto" w:fill="auto"/>
        </w:tcPr>
        <w:p w14:paraId="3D7970C0" w14:textId="77777777" w:rsidR="009A540D" w:rsidRDefault="009A540D" w:rsidP="009A540D">
          <w:pPr>
            <w:widowControl/>
            <w:tabs>
              <w:tab w:val="center" w:pos="4808"/>
              <w:tab w:val="left" w:pos="7675"/>
            </w:tabs>
            <w:adjustRightInd/>
            <w:spacing w:line="240" w:lineRule="auto"/>
            <w:jc w:val="center"/>
          </w:pPr>
        </w:p>
      </w:tc>
    </w:tr>
    <w:bookmarkEnd w:id="5"/>
  </w:tbl>
  <w:p w14:paraId="207281B9"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1"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2"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3"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4"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2"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3"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17"/>
  </w:num>
  <w:num w:numId="6">
    <w:abstractNumId w:val="4"/>
  </w:num>
  <w:num w:numId="7">
    <w:abstractNumId w:val="3"/>
  </w:num>
  <w:num w:numId="8">
    <w:abstractNumId w:val="0"/>
  </w:num>
  <w:num w:numId="9">
    <w:abstractNumId w:val="16"/>
  </w:num>
  <w:num w:numId="10">
    <w:abstractNumId w:val="14"/>
  </w:num>
  <w:num w:numId="11">
    <w:abstractNumId w:val="13"/>
  </w:num>
  <w:num w:numId="12">
    <w:abstractNumId w:val="10"/>
  </w:num>
  <w:num w:numId="13">
    <w:abstractNumId w:val="9"/>
  </w:num>
  <w:num w:numId="14">
    <w:abstractNumId w:val="18"/>
  </w:num>
  <w:num w:numId="15">
    <w:abstractNumId w:val="7"/>
  </w:num>
  <w:num w:numId="16">
    <w:abstractNumId w:val="5"/>
  </w:num>
  <w:num w:numId="17">
    <w:abstractNumId w:val="11"/>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autoHyphenation/>
  <w:hyphenationZone w:val="22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01D9"/>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44BA"/>
    <w:rsid w:val="00306838"/>
    <w:rsid w:val="003122C4"/>
    <w:rsid w:val="00313E26"/>
    <w:rsid w:val="00330F50"/>
    <w:rsid w:val="003353B6"/>
    <w:rsid w:val="00346303"/>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75DE"/>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1F1"/>
    <w:rsid w:val="005608D7"/>
    <w:rsid w:val="0056232E"/>
    <w:rsid w:val="00573179"/>
    <w:rsid w:val="005742F1"/>
    <w:rsid w:val="00574DE6"/>
    <w:rsid w:val="00575E5F"/>
    <w:rsid w:val="00585ADF"/>
    <w:rsid w:val="00594C5A"/>
    <w:rsid w:val="005A08AD"/>
    <w:rsid w:val="005B7C89"/>
    <w:rsid w:val="005D05A3"/>
    <w:rsid w:val="005D3B6B"/>
    <w:rsid w:val="005D55EF"/>
    <w:rsid w:val="005E66B4"/>
    <w:rsid w:val="005F47CF"/>
    <w:rsid w:val="005F52C7"/>
    <w:rsid w:val="005F6807"/>
    <w:rsid w:val="006221CE"/>
    <w:rsid w:val="00623253"/>
    <w:rsid w:val="006236FD"/>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60AE"/>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65A6"/>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96FA8"/>
    <w:rsid w:val="009A2AF6"/>
    <w:rsid w:val="009A540D"/>
    <w:rsid w:val="009B55E6"/>
    <w:rsid w:val="009B5821"/>
    <w:rsid w:val="009C0CC3"/>
    <w:rsid w:val="009C14AB"/>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3A42"/>
    <w:rsid w:val="00BC7367"/>
    <w:rsid w:val="00BD7F2F"/>
    <w:rsid w:val="00BE1428"/>
    <w:rsid w:val="00BE5F26"/>
    <w:rsid w:val="00BE5F9F"/>
    <w:rsid w:val="00BF4C87"/>
    <w:rsid w:val="00BF6780"/>
    <w:rsid w:val="00C15B2A"/>
    <w:rsid w:val="00C305A8"/>
    <w:rsid w:val="00C3425F"/>
    <w:rsid w:val="00C51F68"/>
    <w:rsid w:val="00C77F63"/>
    <w:rsid w:val="00C8664C"/>
    <w:rsid w:val="00C93FE4"/>
    <w:rsid w:val="00CC0A85"/>
    <w:rsid w:val="00CC31E2"/>
    <w:rsid w:val="00CC3A86"/>
    <w:rsid w:val="00CC6FDC"/>
    <w:rsid w:val="00CE3EB5"/>
    <w:rsid w:val="00CE5761"/>
    <w:rsid w:val="00CE57EC"/>
    <w:rsid w:val="00CF7EF6"/>
    <w:rsid w:val="00D0096F"/>
    <w:rsid w:val="00D05112"/>
    <w:rsid w:val="00D13257"/>
    <w:rsid w:val="00D33582"/>
    <w:rsid w:val="00D36ED7"/>
    <w:rsid w:val="00D43455"/>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2126"/>
    <w:rsid w:val="00DE4815"/>
    <w:rsid w:val="00E012C0"/>
    <w:rsid w:val="00E15D15"/>
    <w:rsid w:val="00E178A3"/>
    <w:rsid w:val="00E1795B"/>
    <w:rsid w:val="00E2053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4AEE"/>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886D6F"/>
  <w15:docId w15:val="{36607B96-F24A-45B3-8611-6D9C5F4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6"/>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3"/>
      </w:numPr>
    </w:pPr>
  </w:style>
  <w:style w:type="paragraph" w:styleId="Aufzhlungszeichen">
    <w:name w:val="List Bullet"/>
    <w:basedOn w:val="Standard"/>
    <w:uiPriority w:val="2"/>
    <w:semiHidden/>
    <w:rsid w:val="007F0B45"/>
    <w:pPr>
      <w:numPr>
        <w:numId w:val="9"/>
      </w:numPr>
      <w:tabs>
        <w:tab w:val="left" w:pos="284"/>
      </w:tabs>
      <w:ind w:left="284" w:hanging="284"/>
    </w:pPr>
  </w:style>
  <w:style w:type="paragraph" w:styleId="Aufzhlungszeichen2">
    <w:name w:val="List Bullet 2"/>
    <w:basedOn w:val="Standard"/>
    <w:semiHidden/>
    <w:rsid w:val="00E012C0"/>
    <w:pPr>
      <w:numPr>
        <w:numId w:val="1"/>
      </w:numPr>
      <w:tabs>
        <w:tab w:val="clear" w:pos="540"/>
        <w:tab w:val="left" w:pos="240"/>
      </w:tabs>
      <w:ind w:left="240" w:hanging="120"/>
    </w:pPr>
  </w:style>
  <w:style w:type="paragraph" w:styleId="Aufzhlungszeichen3">
    <w:name w:val="List Bullet 3"/>
    <w:basedOn w:val="Standard"/>
    <w:semiHidden/>
    <w:rsid w:val="00E012C0"/>
    <w:pPr>
      <w:numPr>
        <w:numId w:val="2"/>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5"/>
      </w:numPr>
    </w:pPr>
  </w:style>
  <w:style w:type="numbering" w:customStyle="1" w:styleId="Huisstijl-Letter">
    <w:name w:val="Huisstijl-Letter"/>
    <w:basedOn w:val="KeineListe"/>
    <w:semiHidden/>
    <w:rsid w:val="00884EC3"/>
    <w:pPr>
      <w:numPr>
        <w:numId w:val="4"/>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8"/>
      </w:numPr>
    </w:pPr>
  </w:style>
  <w:style w:type="paragraph" w:styleId="Listennummer">
    <w:name w:val="List Number"/>
    <w:basedOn w:val="Standard"/>
    <w:uiPriority w:val="2"/>
    <w:semiHidden/>
    <w:rsid w:val="002554A4"/>
    <w:pPr>
      <w:numPr>
        <w:numId w:val="7"/>
      </w:numPr>
    </w:pPr>
  </w:style>
  <w:style w:type="numbering" w:customStyle="1" w:styleId="OpmaakprofielGenummerdLinks63mmVerkeerd-om63mm">
    <w:name w:val="Opmaakprofiel Genummerd Links:  63 mm Verkeerd-om:  63 mm"/>
    <w:basedOn w:val="KeineListe"/>
    <w:semiHidden/>
    <w:rsid w:val="00030FCA"/>
    <w:pPr>
      <w:numPr>
        <w:numId w:val="10"/>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1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FFB9D48F-15A3-47CC-AC83-3B501070ADED}">
  <ds:schemaRefs>
    <ds:schemaRef ds:uri="http://schemas.openxmlformats.org/officeDocument/2006/bibliography"/>
  </ds:schemaRefs>
</ds:datastoreItem>
</file>

<file path=customXml/itemProps3.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5</Pages>
  <Words>1203</Words>
  <Characters>8434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Thiem, Dominik</cp:lastModifiedBy>
  <cp:revision>4</cp:revision>
  <cp:lastPrinted>2014-08-21T13:14:00Z</cp:lastPrinted>
  <dcterms:created xsi:type="dcterms:W3CDTF">2022-10-26T07:03:00Z</dcterms:created>
  <dcterms:modified xsi:type="dcterms:W3CDTF">2022-11-29T13:30:00Z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