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p w:rsidR="003F1ACA" w:rsidRDefault="003F1ACA" w:rsidP="008B5CC8">
      <w:pPr>
        <w:spacing w:before="120"/>
        <w:jc w:val="right"/>
        <w:rPr>
          <w:rFonts w:asciiTheme="majorBidi" w:hAnsiTheme="majorBidi" w:cstheme="majorBidi"/>
          <w:bCs/>
          <w:szCs w:val="24"/>
          <w:lang w:val="bg-BG" w:eastAsia="ru-RU"/>
        </w:rPr>
      </w:pPr>
    </w:p>
    <w:tbl>
      <w:tblPr>
        <w:tblW w:w="10207"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662"/>
      </w:tblGrid>
      <w:tr w:rsidR="002F6B13" w:rsidRPr="003D7288" w:rsidTr="00B779CB">
        <w:trPr>
          <w:cantSplit/>
        </w:trPr>
        <w:tc>
          <w:tcPr>
            <w:tcW w:w="10207" w:type="dxa"/>
            <w:gridSpan w:val="2"/>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B779CB">
        <w:trPr>
          <w:cantSplit/>
        </w:trPr>
        <w:tc>
          <w:tcPr>
            <w:tcW w:w="10207" w:type="dxa"/>
            <w:gridSpan w:val="2"/>
            <w:tcBorders>
              <w:top w:val="single" w:sz="4" w:space="0" w:color="auto"/>
              <w:left w:val="single" w:sz="4" w:space="0" w:color="auto"/>
              <w:bottom w:val="single" w:sz="4" w:space="0" w:color="auto"/>
              <w:right w:val="single" w:sz="4" w:space="0" w:color="auto"/>
            </w:tcBorders>
            <w:vAlign w:val="center"/>
          </w:tcPr>
          <w:p w:rsidR="00CF5625" w:rsidRPr="003D7288" w:rsidRDefault="00CF5625" w:rsidP="00EE7AD3">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6662" w:type="dxa"/>
            <w:tcBorders>
              <w:top w:val="single" w:sz="4" w:space="0" w:color="auto"/>
              <w:left w:val="single" w:sz="4" w:space="0" w:color="auto"/>
              <w:bottom w:val="single" w:sz="4" w:space="0" w:color="auto"/>
              <w:right w:val="single" w:sz="4" w:space="0" w:color="auto"/>
            </w:tcBorders>
          </w:tcPr>
          <w:p w:rsidR="006D1179" w:rsidRPr="00FA6192" w:rsidRDefault="00FA6192" w:rsidP="00A71953">
            <w:pPr>
              <w:tabs>
                <w:tab w:val="right" w:pos="7272"/>
              </w:tabs>
              <w:spacing w:before="60" w:after="60"/>
              <w:rPr>
                <w:rFonts w:asciiTheme="majorBidi" w:hAnsiTheme="majorBidi" w:cstheme="majorBidi"/>
                <w:iCs/>
                <w:szCs w:val="24"/>
                <w:lang w:val="bg-BG"/>
              </w:rPr>
            </w:pPr>
            <w:r w:rsidRPr="00FA6192">
              <w:rPr>
                <w:rFonts w:asciiTheme="majorBidi" w:hAnsiTheme="majorBidi" w:cstheme="majorBidi"/>
                <w:iCs/>
                <w:szCs w:val="24"/>
                <w:lang w:val="bg-BG"/>
              </w:rPr>
              <w:t>Комплекс „Полипропилен“</w:t>
            </w:r>
          </w:p>
        </w:tc>
      </w:tr>
      <w:tr w:rsidR="006D1179" w:rsidRPr="003D7288"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D1179" w:rsidRPr="007A3572" w:rsidRDefault="00FB466F" w:rsidP="0016154A">
            <w:pPr>
              <w:tabs>
                <w:tab w:val="right" w:pos="7272"/>
              </w:tabs>
              <w:spacing w:before="60" w:after="60"/>
              <w:rPr>
                <w:rFonts w:asciiTheme="majorBidi" w:hAnsiTheme="majorBidi" w:cstheme="majorBidi"/>
                <w:bCs/>
                <w:szCs w:val="24"/>
                <w:highlight w:val="yellow"/>
                <w:lang w:val="bg-BG"/>
              </w:rPr>
            </w:pPr>
            <w:r w:rsidRPr="00FB466F">
              <w:rPr>
                <w:rFonts w:asciiTheme="majorBidi" w:hAnsiTheme="majorBidi" w:cstheme="majorBidi"/>
                <w:bCs/>
                <w:szCs w:val="24"/>
                <w:lang w:val="bg-BG"/>
              </w:rPr>
              <w:t>205298</w:t>
            </w:r>
          </w:p>
        </w:tc>
      </w:tr>
      <w:tr w:rsidR="006D1179"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BB6AB5" w:rsidRPr="0016154A" w:rsidRDefault="00363738" w:rsidP="0070367A">
            <w:pPr>
              <w:tabs>
                <w:tab w:val="right" w:pos="7254"/>
              </w:tabs>
              <w:spacing w:before="60" w:after="60"/>
              <w:rPr>
                <w:rFonts w:asciiTheme="majorBidi" w:hAnsiTheme="majorBidi" w:cstheme="majorBidi"/>
                <w:bCs/>
                <w:iCs/>
                <w:szCs w:val="24"/>
                <w:lang w:val="ru-RU"/>
              </w:rPr>
            </w:pPr>
            <w:proofErr w:type="spellStart"/>
            <w:r>
              <w:rPr>
                <w:szCs w:val="24"/>
                <w:lang w:val="ru-RU"/>
              </w:rPr>
              <w:t>Разширение</w:t>
            </w:r>
            <w:proofErr w:type="spellEnd"/>
            <w:r>
              <w:rPr>
                <w:szCs w:val="24"/>
                <w:lang w:val="ru-RU"/>
              </w:rPr>
              <w:t xml:space="preserve"> и модернизация на </w:t>
            </w:r>
            <w:proofErr w:type="spellStart"/>
            <w:r>
              <w:rPr>
                <w:szCs w:val="24"/>
                <w:lang w:val="ru-RU"/>
              </w:rPr>
              <w:t>цифрова</w:t>
            </w:r>
            <w:proofErr w:type="spellEnd"/>
            <w:r>
              <w:rPr>
                <w:szCs w:val="24"/>
                <w:lang w:val="ru-RU"/>
              </w:rPr>
              <w:t xml:space="preserve"> радиосистема за </w:t>
            </w:r>
            <w:proofErr w:type="spellStart"/>
            <w:r>
              <w:rPr>
                <w:szCs w:val="24"/>
                <w:lang w:val="ru-RU"/>
              </w:rPr>
              <w:t>оперативни</w:t>
            </w:r>
            <w:proofErr w:type="spellEnd"/>
            <w:r>
              <w:rPr>
                <w:szCs w:val="24"/>
                <w:lang w:val="ru-RU"/>
              </w:rPr>
              <w:t xml:space="preserve"> и </w:t>
            </w:r>
            <w:proofErr w:type="spellStart"/>
            <w:r>
              <w:rPr>
                <w:szCs w:val="24"/>
                <w:lang w:val="ru-RU"/>
              </w:rPr>
              <w:t>аварийни</w:t>
            </w:r>
            <w:proofErr w:type="spellEnd"/>
            <w:r>
              <w:rPr>
                <w:szCs w:val="24"/>
                <w:lang w:val="ru-RU"/>
              </w:rPr>
              <w:t xml:space="preserve"> цели</w:t>
            </w:r>
            <w:r w:rsidR="0016154A" w:rsidRPr="0016154A">
              <w:rPr>
                <w:szCs w:val="24"/>
                <w:lang w:val="ru-RU"/>
              </w:rPr>
              <w:t>.</w:t>
            </w:r>
          </w:p>
        </w:tc>
      </w:tr>
      <w:tr w:rsidR="00E9098E" w:rsidRPr="003D7288"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6662"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9B363A" w:rsidRPr="00E42D4C" w:rsidTr="00B779CB">
        <w:trPr>
          <w:cantSplit/>
        </w:trPr>
        <w:tc>
          <w:tcPr>
            <w:tcW w:w="10207" w:type="dxa"/>
            <w:gridSpan w:val="2"/>
            <w:tcBorders>
              <w:top w:val="single" w:sz="4" w:space="0" w:color="auto"/>
              <w:left w:val="single" w:sz="4" w:space="0" w:color="auto"/>
              <w:bottom w:val="single" w:sz="4" w:space="0" w:color="auto"/>
              <w:right w:val="single" w:sz="4" w:space="0" w:color="auto"/>
            </w:tcBorders>
          </w:tcPr>
          <w:p w:rsidR="003F1ACA" w:rsidRPr="003F1ACA" w:rsidRDefault="009B363A" w:rsidP="00EE7AD3">
            <w:pPr>
              <w:tabs>
                <w:tab w:val="right" w:pos="7254"/>
              </w:tabs>
              <w:spacing w:before="60" w:after="60"/>
              <w:jc w:val="center"/>
              <w:rPr>
                <w:rFonts w:asciiTheme="majorBidi" w:hAnsiTheme="majorBidi" w:cstheme="majorBidi"/>
                <w:szCs w:val="24"/>
                <w:lang w:val="bg-BG"/>
              </w:rPr>
            </w:pPr>
            <w:r w:rsidRPr="00B76929">
              <w:rPr>
                <w:lang w:val="ru-RU"/>
              </w:rPr>
              <w:br w:type="page"/>
            </w:r>
            <w:r w:rsidRPr="00F30FC1">
              <w:rPr>
                <w:rFonts w:asciiTheme="majorBidi" w:hAnsiTheme="majorBidi" w:cstheme="majorBidi"/>
                <w:b/>
                <w:szCs w:val="24"/>
                <w:lang w:val="bg-BG"/>
              </w:rPr>
              <w:t>II.  Минимални квалификационни изисквания към Претендента за допускане до участие в тендер</w:t>
            </w:r>
            <w:r w:rsidR="003F1ACA">
              <w:rPr>
                <w:rFonts w:asciiTheme="majorBidi" w:hAnsiTheme="majorBidi" w:cstheme="majorBidi"/>
                <w:b/>
                <w:szCs w:val="24"/>
                <w:lang w:val="bg-BG"/>
              </w:rPr>
              <w:t>.</w:t>
            </w:r>
          </w:p>
        </w:tc>
      </w:tr>
      <w:tr w:rsidR="009B363A"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B363A" w:rsidRPr="00F30FC1" w:rsidRDefault="00DF70CA" w:rsidP="009B363A">
            <w:pPr>
              <w:pStyle w:val="a9"/>
              <w:numPr>
                <w:ilvl w:val="1"/>
                <w:numId w:val="5"/>
              </w:numPr>
              <w:tabs>
                <w:tab w:val="left" w:pos="460"/>
              </w:tabs>
              <w:ind w:left="0" w:firstLine="0"/>
              <w:jc w:val="both"/>
              <w:rPr>
                <w:rFonts w:asciiTheme="majorBidi" w:hAnsiTheme="majorBidi" w:cstheme="majorBidi"/>
                <w:lang w:val="bg-BG"/>
              </w:rPr>
            </w:pPr>
            <w:r>
              <w:rPr>
                <w:rFonts w:asciiTheme="majorBidi" w:hAnsiTheme="majorBidi" w:cstheme="majorBidi"/>
                <w:lang w:val="bg-BG"/>
              </w:rPr>
              <w:t>Техническо съответствие</w:t>
            </w:r>
          </w:p>
        </w:tc>
        <w:tc>
          <w:tcPr>
            <w:tcW w:w="6662" w:type="dxa"/>
            <w:tcBorders>
              <w:top w:val="single" w:sz="4" w:space="0" w:color="auto"/>
              <w:left w:val="single" w:sz="4" w:space="0" w:color="auto"/>
              <w:bottom w:val="single" w:sz="4" w:space="0" w:color="auto"/>
              <w:right w:val="single" w:sz="4" w:space="0" w:color="auto"/>
            </w:tcBorders>
            <w:vAlign w:val="center"/>
          </w:tcPr>
          <w:p w:rsidR="00DF70CA" w:rsidRPr="00141A3C" w:rsidRDefault="00333797" w:rsidP="00DF70CA">
            <w:pPr>
              <w:rPr>
                <w:rFonts w:asciiTheme="majorBidi" w:hAnsiTheme="majorBidi" w:cstheme="majorBidi"/>
                <w:color w:val="FF0000"/>
                <w:lang w:val="ru-RU"/>
              </w:rPr>
            </w:pPr>
            <w:proofErr w:type="spellStart"/>
            <w:r>
              <w:rPr>
                <w:rFonts w:asciiTheme="majorBidi" w:hAnsiTheme="majorBidi" w:cstheme="majorBidi"/>
                <w:sz w:val="22"/>
                <w:szCs w:val="22"/>
                <w:lang w:val="ru-RU"/>
              </w:rPr>
              <w:t>Пълно</w:t>
            </w:r>
            <w:proofErr w:type="spellEnd"/>
            <w:r>
              <w:rPr>
                <w:rFonts w:asciiTheme="majorBidi" w:hAnsiTheme="majorBidi" w:cstheme="majorBidi"/>
                <w:sz w:val="22"/>
                <w:szCs w:val="22"/>
                <w:lang w:val="ru-RU"/>
              </w:rPr>
              <w:t xml:space="preserve"> </w:t>
            </w:r>
            <w:proofErr w:type="spellStart"/>
            <w:r>
              <w:rPr>
                <w:rFonts w:asciiTheme="majorBidi" w:hAnsiTheme="majorBidi" w:cstheme="majorBidi"/>
                <w:sz w:val="22"/>
                <w:szCs w:val="22"/>
                <w:lang w:val="ru-RU"/>
              </w:rPr>
              <w:t>съответствие</w:t>
            </w:r>
            <w:proofErr w:type="spellEnd"/>
            <w:r>
              <w:rPr>
                <w:rFonts w:asciiTheme="majorBidi" w:hAnsiTheme="majorBidi" w:cstheme="majorBidi"/>
                <w:sz w:val="22"/>
                <w:szCs w:val="22"/>
                <w:lang w:val="ru-RU"/>
              </w:rPr>
              <w:t xml:space="preserve"> на </w:t>
            </w:r>
            <w:proofErr w:type="spellStart"/>
            <w:r w:rsidRPr="00A34924">
              <w:rPr>
                <w:rFonts w:asciiTheme="majorBidi" w:hAnsiTheme="majorBidi" w:cstheme="majorBidi"/>
                <w:sz w:val="22"/>
                <w:szCs w:val="22"/>
                <w:lang w:val="ru-RU"/>
              </w:rPr>
              <w:t>предложението</w:t>
            </w:r>
            <w:proofErr w:type="spellEnd"/>
            <w:r w:rsidRPr="00A34924">
              <w:rPr>
                <w:rFonts w:asciiTheme="majorBidi" w:hAnsiTheme="majorBidi" w:cstheme="majorBidi"/>
                <w:sz w:val="22"/>
                <w:szCs w:val="22"/>
                <w:lang w:val="ru-RU"/>
              </w:rPr>
              <w:t xml:space="preserve"> на </w:t>
            </w:r>
            <w:proofErr w:type="spellStart"/>
            <w:r w:rsidRPr="00A34924">
              <w:rPr>
                <w:rFonts w:asciiTheme="majorBidi" w:hAnsiTheme="majorBidi" w:cstheme="majorBidi"/>
                <w:sz w:val="22"/>
                <w:szCs w:val="22"/>
                <w:lang w:val="ru-RU"/>
              </w:rPr>
              <w:t>техническото</w:t>
            </w:r>
            <w:proofErr w:type="spellEnd"/>
            <w:r w:rsidRPr="00A34924">
              <w:rPr>
                <w:rFonts w:asciiTheme="majorBidi" w:hAnsiTheme="majorBidi" w:cstheme="majorBidi"/>
                <w:sz w:val="22"/>
                <w:szCs w:val="22"/>
                <w:lang w:val="ru-RU"/>
              </w:rPr>
              <w:t xml:space="preserve"> задание на </w:t>
            </w:r>
            <w:proofErr w:type="spellStart"/>
            <w:r w:rsidRPr="00A34924">
              <w:rPr>
                <w:rFonts w:asciiTheme="majorBidi" w:hAnsiTheme="majorBidi" w:cstheme="majorBidi"/>
                <w:sz w:val="22"/>
                <w:szCs w:val="22"/>
                <w:lang w:val="ru-RU"/>
              </w:rPr>
              <w:t>Възложителя</w:t>
            </w:r>
            <w:proofErr w:type="spellEnd"/>
            <w:r w:rsidRPr="00A34924">
              <w:rPr>
                <w:rFonts w:asciiTheme="majorBidi" w:hAnsiTheme="majorBidi" w:cstheme="majorBidi"/>
                <w:sz w:val="22"/>
                <w:szCs w:val="22"/>
                <w:lang w:val="ru-RU"/>
              </w:rPr>
              <w:t>.</w:t>
            </w:r>
          </w:p>
        </w:tc>
      </w:tr>
      <w:tr w:rsidR="009733A1"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9733A1">
            <w:pPr>
              <w:pStyle w:val="a9"/>
              <w:numPr>
                <w:ilvl w:val="1"/>
                <w:numId w:val="5"/>
              </w:numPr>
              <w:tabs>
                <w:tab w:val="left" w:pos="460"/>
              </w:tabs>
              <w:ind w:left="0" w:firstLine="0"/>
              <w:jc w:val="both"/>
              <w:rPr>
                <w:rFonts w:ascii="Times New Roman" w:hAnsi="Times New Roman"/>
                <w:lang w:val="bg-BG"/>
              </w:rPr>
            </w:pPr>
            <w:r w:rsidRPr="00DF70CA">
              <w:rPr>
                <w:rFonts w:ascii="Times New Roman" w:hAnsi="Times New Roman"/>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DF70CA">
              <w:rPr>
                <w:rFonts w:ascii="Times New Roman" w:hAnsi="Times New Roman"/>
                <w:lang w:val="bg-BG"/>
              </w:rPr>
              <w:t>тендера</w:t>
            </w:r>
            <w:proofErr w:type="spellEnd"/>
            <w:r w:rsidRPr="00DF70CA">
              <w:rPr>
                <w:rFonts w:ascii="Times New Roman" w:hAnsi="Times New Roman"/>
                <w:lang w:val="bg-BG"/>
              </w:rPr>
              <w:t>), в т.ч. на подизпълнители</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C32B60">
            <w:pPr>
              <w:ind w:left="37"/>
              <w:rPr>
                <w:szCs w:val="24"/>
                <w:lang w:val="ru-RU"/>
              </w:rPr>
            </w:pPr>
            <w:r w:rsidRPr="00DF70CA">
              <w:rPr>
                <w:szCs w:val="24"/>
                <w:lang w:val="bg-BG"/>
              </w:rPr>
              <w:t>1.</w:t>
            </w:r>
            <w:r w:rsidR="00DF70CA" w:rsidRPr="00DF70CA">
              <w:rPr>
                <w:szCs w:val="24"/>
                <w:lang w:val="bg-BG"/>
              </w:rPr>
              <w:t>2</w:t>
            </w:r>
            <w:r w:rsidRPr="00DF70CA">
              <w:rPr>
                <w:szCs w:val="24"/>
                <w:lang w:val="bg-BG"/>
              </w:rPr>
              <w:t>.1.</w:t>
            </w:r>
            <w:r w:rsidR="001102E9">
              <w:rPr>
                <w:szCs w:val="24"/>
                <w:lang w:val="bg-BG"/>
              </w:rPr>
              <w:t xml:space="preserve"> </w:t>
            </w:r>
            <w:r w:rsidRPr="00DF70CA">
              <w:rPr>
                <w:b/>
                <w:szCs w:val="24"/>
                <w:lang w:val="bg-BG"/>
              </w:rPr>
              <w:t>Претендентът/ подизпълнителят</w:t>
            </w:r>
            <w:r w:rsidRPr="00DF70CA">
              <w:rPr>
                <w:szCs w:val="24"/>
                <w:lang w:val="bg-BG"/>
              </w:rPr>
              <w:t xml:space="preserve"> да притежава удостоверение, че е оторизиран сервизен партньор на производителя </w:t>
            </w:r>
            <w:r w:rsidR="001102E9" w:rsidRPr="00DF70CA">
              <w:rPr>
                <w:szCs w:val="24"/>
                <w:lang w:val="bg-BG"/>
              </w:rPr>
              <w:t xml:space="preserve">на предлаганото оборудване </w:t>
            </w:r>
            <w:r w:rsidRPr="00DF70CA">
              <w:rPr>
                <w:szCs w:val="24"/>
                <w:lang w:val="bg-BG"/>
              </w:rPr>
              <w:t>или да има сключен договор с такъв.</w:t>
            </w:r>
          </w:p>
          <w:p w:rsidR="009733A1" w:rsidRPr="00DF70CA" w:rsidRDefault="009733A1" w:rsidP="00C32B60">
            <w:pPr>
              <w:rPr>
                <w:szCs w:val="24"/>
                <w:lang w:val="bg-BG"/>
              </w:rPr>
            </w:pPr>
            <w:r w:rsidRPr="00DF70CA">
              <w:rPr>
                <w:szCs w:val="24"/>
                <w:lang w:val="bg-BG"/>
              </w:rPr>
              <w:t>1.</w:t>
            </w:r>
            <w:r w:rsidR="00DF70CA" w:rsidRPr="00DF70CA">
              <w:rPr>
                <w:szCs w:val="24"/>
                <w:lang w:val="bg-BG"/>
              </w:rPr>
              <w:t>2</w:t>
            </w:r>
            <w:r w:rsidRPr="00DF70CA">
              <w:rPr>
                <w:szCs w:val="24"/>
                <w:lang w:val="bg-BG"/>
              </w:rPr>
              <w:t xml:space="preserve">.2. </w:t>
            </w:r>
            <w:r w:rsidRPr="00DF70CA">
              <w:rPr>
                <w:b/>
                <w:szCs w:val="24"/>
                <w:lang w:val="bg-BG"/>
              </w:rPr>
              <w:t>Претендентът</w:t>
            </w:r>
            <w:r w:rsidRPr="00DF70CA">
              <w:rPr>
                <w:szCs w:val="24"/>
                <w:lang w:val="bg-BG"/>
              </w:rPr>
              <w:t xml:space="preserve"> да притежава валиден сертификат за стандарт ISO 9001</w:t>
            </w:r>
            <w:r w:rsidRPr="00DF70CA">
              <w:rPr>
                <w:szCs w:val="24"/>
                <w:lang w:val="ru-RU"/>
              </w:rPr>
              <w:t xml:space="preserve"> </w:t>
            </w:r>
            <w:r w:rsidRPr="00DF70CA">
              <w:rPr>
                <w:szCs w:val="24"/>
                <w:lang w:val="bg-BG"/>
              </w:rPr>
              <w:t xml:space="preserve">по управление на качеството. </w:t>
            </w:r>
          </w:p>
          <w:p w:rsidR="009733A1" w:rsidRPr="00DF70CA" w:rsidRDefault="00DF70CA" w:rsidP="00C32B60">
            <w:pPr>
              <w:rPr>
                <w:color w:val="FF0000"/>
                <w:szCs w:val="24"/>
                <w:lang w:val="ru-RU"/>
              </w:rPr>
            </w:pPr>
            <w:r w:rsidRPr="00DF70CA">
              <w:rPr>
                <w:szCs w:val="24"/>
                <w:lang w:val="bg-BG"/>
              </w:rPr>
              <w:t>1.2</w:t>
            </w:r>
            <w:r w:rsidR="009733A1" w:rsidRPr="00DF70CA">
              <w:rPr>
                <w:szCs w:val="24"/>
                <w:lang w:val="bg-BG"/>
              </w:rPr>
              <w:t xml:space="preserve">.3. </w:t>
            </w:r>
            <w:r w:rsidR="009733A1" w:rsidRPr="00DF70CA">
              <w:rPr>
                <w:b/>
                <w:szCs w:val="24"/>
                <w:lang w:val="bg-BG"/>
              </w:rPr>
              <w:t xml:space="preserve">Претендентът/ подизпълнителят </w:t>
            </w:r>
            <w:r w:rsidR="009733A1" w:rsidRPr="00DF70CA">
              <w:rPr>
                <w:szCs w:val="24"/>
                <w:lang w:val="bg-BG"/>
              </w:rPr>
              <w:t xml:space="preserve">да представи списък на поне едно лице, което има професионален сертификат, издаден от производителя на предлаганото оборудване, за успешно преминато обучение за DMR </w:t>
            </w:r>
            <w:proofErr w:type="spellStart"/>
            <w:r w:rsidR="009733A1" w:rsidRPr="00DF70CA">
              <w:rPr>
                <w:szCs w:val="24"/>
                <w:lang w:val="bg-BG"/>
              </w:rPr>
              <w:t>MotoTRBO</w:t>
            </w:r>
            <w:proofErr w:type="spellEnd"/>
            <w:r w:rsidR="009733A1" w:rsidRPr="00DF70CA">
              <w:rPr>
                <w:szCs w:val="24"/>
                <w:lang w:val="bg-BG"/>
              </w:rPr>
              <w:t xml:space="preserve"> системи.</w:t>
            </w:r>
          </w:p>
        </w:tc>
      </w:tr>
      <w:tr w:rsidR="009733A1"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9733A1">
            <w:pPr>
              <w:pStyle w:val="a9"/>
              <w:numPr>
                <w:ilvl w:val="1"/>
                <w:numId w:val="5"/>
              </w:numPr>
              <w:tabs>
                <w:tab w:val="left" w:pos="460"/>
              </w:tabs>
              <w:ind w:left="0" w:firstLine="0"/>
              <w:jc w:val="both"/>
              <w:rPr>
                <w:rFonts w:ascii="Times New Roman" w:hAnsi="Times New Roman"/>
                <w:lang w:val="bg-BG"/>
              </w:rPr>
            </w:pPr>
            <w:r w:rsidRPr="00DF70CA">
              <w:rPr>
                <w:rFonts w:ascii="Times New Roman" w:hAnsi="Times New Roman"/>
                <w:lang w:val="bg-BG"/>
              </w:rPr>
              <w:t>Приемане на предложения проект на договор</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9733A1">
            <w:pPr>
              <w:ind w:left="37"/>
              <w:rPr>
                <w:szCs w:val="24"/>
                <w:lang w:val="bg-BG"/>
              </w:rPr>
            </w:pPr>
            <w:r w:rsidRPr="00DF70CA">
              <w:rPr>
                <w:b/>
                <w:szCs w:val="24"/>
                <w:lang w:val="bg-BG"/>
              </w:rPr>
              <w:t xml:space="preserve">Претендентът </w:t>
            </w:r>
            <w:r w:rsidRPr="00DF70CA">
              <w:rPr>
                <w:szCs w:val="24"/>
                <w:lang w:val="bg-BG"/>
              </w:rPr>
              <w:t>приема безусловно предложения проект на договор</w:t>
            </w:r>
          </w:p>
        </w:tc>
      </w:tr>
      <w:tr w:rsidR="009733A1"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9733A1">
            <w:pPr>
              <w:pStyle w:val="a9"/>
              <w:numPr>
                <w:ilvl w:val="1"/>
                <w:numId w:val="5"/>
              </w:numPr>
              <w:tabs>
                <w:tab w:val="left" w:pos="460"/>
              </w:tabs>
              <w:ind w:left="0" w:firstLine="0"/>
              <w:jc w:val="both"/>
              <w:rPr>
                <w:rFonts w:ascii="Times New Roman" w:hAnsi="Times New Roman"/>
                <w:lang w:val="bg-BG"/>
              </w:rPr>
            </w:pPr>
            <w:r w:rsidRPr="00DF70CA">
              <w:rPr>
                <w:rFonts w:ascii="Times New Roman" w:hAnsi="Times New Roman"/>
                <w:lang w:val="bg-BG"/>
              </w:rPr>
              <w:t>План график</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445EAD" w:rsidRDefault="00445EAD" w:rsidP="009733A1">
            <w:pPr>
              <w:ind w:left="37"/>
              <w:rPr>
                <w:szCs w:val="24"/>
                <w:lang w:val="ru-RU"/>
              </w:rPr>
            </w:pPr>
            <w:proofErr w:type="spellStart"/>
            <w:r w:rsidRPr="00445EAD">
              <w:rPr>
                <w:b/>
                <w:szCs w:val="24"/>
                <w:lang w:val="ru-RU"/>
              </w:rPr>
              <w:t>Претендентът</w:t>
            </w:r>
            <w:proofErr w:type="spellEnd"/>
            <w:r w:rsidRPr="00445EAD">
              <w:rPr>
                <w:szCs w:val="24"/>
                <w:lang w:val="ru-RU"/>
              </w:rPr>
              <w:t xml:space="preserve"> да </w:t>
            </w:r>
            <w:proofErr w:type="spellStart"/>
            <w:r w:rsidRPr="00445EAD">
              <w:rPr>
                <w:szCs w:val="24"/>
                <w:lang w:val="ru-RU"/>
              </w:rPr>
              <w:t>предостави</w:t>
            </w:r>
            <w:proofErr w:type="spellEnd"/>
            <w:r w:rsidRPr="00445EAD">
              <w:rPr>
                <w:szCs w:val="24"/>
                <w:lang w:val="ru-RU"/>
              </w:rPr>
              <w:t xml:space="preserve"> план график за </w:t>
            </w:r>
            <w:proofErr w:type="spellStart"/>
            <w:r w:rsidRPr="00445EAD">
              <w:rPr>
                <w:szCs w:val="24"/>
                <w:lang w:val="ru-RU"/>
              </w:rPr>
              <w:t>изпълнението</w:t>
            </w:r>
            <w:proofErr w:type="spellEnd"/>
            <w:r w:rsidRPr="00445EAD">
              <w:rPr>
                <w:szCs w:val="24"/>
                <w:lang w:val="ru-RU"/>
              </w:rPr>
              <w:t xml:space="preserve"> на </w:t>
            </w:r>
            <w:proofErr w:type="spellStart"/>
            <w:r w:rsidRPr="00445EAD">
              <w:rPr>
                <w:szCs w:val="24"/>
                <w:lang w:val="ru-RU"/>
              </w:rPr>
              <w:t>заданието</w:t>
            </w:r>
            <w:proofErr w:type="spellEnd"/>
            <w:r w:rsidRPr="00445EAD">
              <w:rPr>
                <w:szCs w:val="24"/>
                <w:lang w:val="ru-RU"/>
              </w:rPr>
              <w:t xml:space="preserve"> в </w:t>
            </w:r>
            <w:proofErr w:type="spellStart"/>
            <w:r w:rsidRPr="00445EAD">
              <w:rPr>
                <w:szCs w:val="24"/>
                <w:lang w:val="ru-RU"/>
              </w:rPr>
              <w:t>рамките</w:t>
            </w:r>
            <w:proofErr w:type="spellEnd"/>
            <w:r w:rsidRPr="00445EAD">
              <w:rPr>
                <w:szCs w:val="24"/>
                <w:lang w:val="ru-RU"/>
              </w:rPr>
              <w:t xml:space="preserve"> на 2022г. и 2023г. в два </w:t>
            </w:r>
            <w:proofErr w:type="spellStart"/>
            <w:r w:rsidRPr="00445EAD">
              <w:rPr>
                <w:szCs w:val="24"/>
                <w:lang w:val="ru-RU"/>
              </w:rPr>
              <w:t>етапа</w:t>
            </w:r>
            <w:proofErr w:type="spellEnd"/>
            <w:r w:rsidRPr="00445EAD">
              <w:rPr>
                <w:szCs w:val="24"/>
                <w:lang w:val="ru-RU"/>
              </w:rPr>
              <w:t xml:space="preserve">, </w:t>
            </w:r>
            <w:proofErr w:type="spellStart"/>
            <w:r w:rsidRPr="00445EAD">
              <w:rPr>
                <w:szCs w:val="24"/>
                <w:lang w:val="ru-RU"/>
              </w:rPr>
              <w:t>съгласно</w:t>
            </w:r>
            <w:proofErr w:type="spellEnd"/>
            <w:r w:rsidRPr="00445EAD">
              <w:rPr>
                <w:szCs w:val="24"/>
                <w:lang w:val="ru-RU"/>
              </w:rPr>
              <w:t xml:space="preserve"> </w:t>
            </w:r>
            <w:proofErr w:type="spellStart"/>
            <w:r w:rsidRPr="00445EAD">
              <w:rPr>
                <w:szCs w:val="24"/>
                <w:lang w:val="ru-RU"/>
              </w:rPr>
              <w:t>техн</w:t>
            </w:r>
            <w:proofErr w:type="spellEnd"/>
            <w:r w:rsidRPr="00445EAD">
              <w:rPr>
                <w:szCs w:val="24"/>
                <w:lang w:val="ru-RU"/>
              </w:rPr>
              <w:t>. задание.</w:t>
            </w:r>
          </w:p>
        </w:tc>
      </w:tr>
      <w:tr w:rsidR="009733A1" w:rsidRPr="00E42D4C" w:rsidTr="00C32B60">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9733A1">
            <w:pPr>
              <w:pStyle w:val="a9"/>
              <w:numPr>
                <w:ilvl w:val="1"/>
                <w:numId w:val="5"/>
              </w:numPr>
              <w:tabs>
                <w:tab w:val="left" w:pos="460"/>
              </w:tabs>
              <w:ind w:left="0" w:firstLine="0"/>
              <w:jc w:val="both"/>
              <w:rPr>
                <w:rFonts w:ascii="Times New Roman" w:hAnsi="Times New Roman"/>
                <w:lang w:val="bg-BG"/>
              </w:rPr>
            </w:pPr>
            <w:r w:rsidRPr="00DF70CA">
              <w:rPr>
                <w:rFonts w:ascii="Times New Roman" w:hAnsi="Times New Roman"/>
                <w:lang w:val="bg-BG"/>
              </w:rPr>
              <w:t>Предишен опит</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DF70CA" w:rsidRDefault="009733A1" w:rsidP="00DF70CA">
            <w:pPr>
              <w:rPr>
                <w:color w:val="FF0000"/>
                <w:szCs w:val="24"/>
                <w:lang w:val="ru-RU" w:eastAsia="ru-RU"/>
              </w:rPr>
            </w:pPr>
            <w:proofErr w:type="spellStart"/>
            <w:r w:rsidRPr="00DF70CA">
              <w:rPr>
                <w:szCs w:val="24"/>
                <w:lang w:val="ru-RU" w:eastAsia="ru-RU"/>
              </w:rPr>
              <w:t>Претенднта</w:t>
            </w:r>
            <w:proofErr w:type="spellEnd"/>
            <w:r w:rsidRPr="00DF70CA">
              <w:rPr>
                <w:szCs w:val="24"/>
                <w:lang w:val="ru-RU" w:eastAsia="ru-RU"/>
              </w:rPr>
              <w:t xml:space="preserve"> да </w:t>
            </w:r>
            <w:proofErr w:type="spellStart"/>
            <w:r w:rsidRPr="00DF70CA">
              <w:rPr>
                <w:szCs w:val="24"/>
                <w:lang w:val="ru-RU" w:eastAsia="ru-RU"/>
              </w:rPr>
              <w:t>има</w:t>
            </w:r>
            <w:proofErr w:type="spellEnd"/>
            <w:r w:rsidRPr="00DF70CA">
              <w:rPr>
                <w:szCs w:val="24"/>
                <w:lang w:val="ru-RU" w:eastAsia="ru-RU"/>
              </w:rPr>
              <w:t xml:space="preserve"> минимум един </w:t>
            </w:r>
            <w:proofErr w:type="spellStart"/>
            <w:r w:rsidR="00DF70CA">
              <w:rPr>
                <w:szCs w:val="24"/>
                <w:lang w:val="ru-RU" w:eastAsia="ru-RU"/>
              </w:rPr>
              <w:t>изпълнен</w:t>
            </w:r>
            <w:proofErr w:type="spellEnd"/>
            <w:r w:rsidRPr="00DF70CA">
              <w:rPr>
                <w:szCs w:val="24"/>
                <w:lang w:val="ru-RU" w:eastAsia="ru-RU"/>
              </w:rPr>
              <w:t xml:space="preserve"> договор </w:t>
            </w:r>
            <w:r w:rsidRPr="00DF70CA">
              <w:rPr>
                <w:szCs w:val="24"/>
                <w:lang w:val="bg-BG"/>
              </w:rPr>
              <w:t xml:space="preserve">за изграждане и/или сервизна дейност на DMR Motorola </w:t>
            </w:r>
            <w:proofErr w:type="spellStart"/>
            <w:r w:rsidRPr="00DF70CA">
              <w:rPr>
                <w:szCs w:val="24"/>
                <w:lang w:val="bg-BG"/>
              </w:rPr>
              <w:t>Moto</w:t>
            </w:r>
            <w:proofErr w:type="spellEnd"/>
            <w:r w:rsidR="00DF70CA">
              <w:rPr>
                <w:szCs w:val="24"/>
                <w:lang w:val="bg-BG"/>
              </w:rPr>
              <w:t xml:space="preserve"> </w:t>
            </w:r>
            <w:r w:rsidRPr="00DF70CA">
              <w:rPr>
                <w:szCs w:val="24"/>
                <w:lang w:val="bg-BG"/>
              </w:rPr>
              <w:t xml:space="preserve">TRBO системи за последните 3 (три) години (2019г., 2020г. и 2021г.) и/или е в действие към момента на провеждане на </w:t>
            </w:r>
            <w:proofErr w:type="spellStart"/>
            <w:r w:rsidRPr="00DF70CA">
              <w:rPr>
                <w:szCs w:val="24"/>
                <w:lang w:val="bg-BG"/>
              </w:rPr>
              <w:t>тендера</w:t>
            </w:r>
            <w:proofErr w:type="spellEnd"/>
          </w:p>
        </w:tc>
      </w:tr>
      <w:tr w:rsidR="009733A1" w:rsidRPr="00E42D4C" w:rsidTr="00C32B60">
        <w:trPr>
          <w:cantSplit/>
          <w:trHeight w:val="426"/>
        </w:trPr>
        <w:tc>
          <w:tcPr>
            <w:tcW w:w="3545" w:type="dxa"/>
            <w:tcBorders>
              <w:top w:val="single" w:sz="4" w:space="0" w:color="auto"/>
              <w:left w:val="single" w:sz="4" w:space="0" w:color="auto"/>
              <w:right w:val="single" w:sz="4" w:space="0" w:color="auto"/>
            </w:tcBorders>
            <w:vAlign w:val="center"/>
          </w:tcPr>
          <w:p w:rsidR="009733A1" w:rsidRPr="00DF70CA" w:rsidRDefault="009733A1" w:rsidP="009733A1">
            <w:pPr>
              <w:pStyle w:val="a9"/>
              <w:numPr>
                <w:ilvl w:val="1"/>
                <w:numId w:val="5"/>
              </w:numPr>
              <w:tabs>
                <w:tab w:val="left" w:pos="460"/>
              </w:tabs>
              <w:ind w:left="0" w:firstLine="0"/>
              <w:jc w:val="both"/>
              <w:rPr>
                <w:rFonts w:ascii="Times New Roman" w:hAnsi="Times New Roman"/>
                <w:lang w:val="bg-BG"/>
              </w:rPr>
            </w:pPr>
            <w:r w:rsidRPr="00DF70CA">
              <w:rPr>
                <w:rFonts w:ascii="Times New Roman" w:hAnsi="Times New Roman"/>
                <w:color w:val="000000"/>
                <w:lang w:eastAsia="bg-BG"/>
              </w:rPr>
              <w:t>ТБ и ОТ</w:t>
            </w:r>
          </w:p>
        </w:tc>
        <w:tc>
          <w:tcPr>
            <w:tcW w:w="6662" w:type="dxa"/>
            <w:tcBorders>
              <w:top w:val="single" w:sz="4" w:space="0" w:color="auto"/>
              <w:left w:val="single" w:sz="4" w:space="0" w:color="auto"/>
              <w:right w:val="single" w:sz="4" w:space="0" w:color="auto"/>
            </w:tcBorders>
            <w:vAlign w:val="center"/>
          </w:tcPr>
          <w:p w:rsidR="009733A1" w:rsidRPr="00DF70CA" w:rsidRDefault="009733A1" w:rsidP="009733A1">
            <w:pPr>
              <w:rPr>
                <w:szCs w:val="24"/>
                <w:lang w:val="bg-BG" w:eastAsia="ru-RU"/>
              </w:rPr>
            </w:pPr>
            <w:r w:rsidRPr="00DF70CA">
              <w:rPr>
                <w:szCs w:val="24"/>
                <w:lang w:val="bg-BG" w:eastAsia="ru-RU"/>
              </w:rPr>
              <w:t>Претендентът е в съответствие с изискванията по промишлена безопасност, охрана на труда и околна среда, базирано на успешно покриване</w:t>
            </w:r>
            <w:r w:rsidRPr="00DF70CA">
              <w:rPr>
                <w:szCs w:val="24"/>
                <w:lang w:val="ru-RU" w:eastAsia="ru-RU"/>
              </w:rPr>
              <w:t xml:space="preserve"> (50 % +1 </w:t>
            </w:r>
            <w:r w:rsidRPr="00DF70CA">
              <w:rPr>
                <w:szCs w:val="24"/>
                <w:lang w:val="bg-BG" w:eastAsia="ru-RU"/>
              </w:rPr>
              <w:t>положителни отговори</w:t>
            </w:r>
            <w:r w:rsidRPr="00DF70CA">
              <w:rPr>
                <w:szCs w:val="24"/>
                <w:lang w:val="ru-RU" w:eastAsia="ru-RU"/>
              </w:rPr>
              <w:t xml:space="preserve">) </w:t>
            </w:r>
            <w:r w:rsidRPr="00DF70CA">
              <w:rPr>
                <w:szCs w:val="24"/>
                <w:lang w:val="bg-BG" w:eastAsia="ru-RU"/>
              </w:rPr>
              <w:t xml:space="preserve"> на Квалификационна анкета по ТБ, ОТ и Е.</w:t>
            </w:r>
          </w:p>
        </w:tc>
      </w:tr>
      <w:tr w:rsidR="009733A1" w:rsidRPr="00E42D4C" w:rsidTr="00B779CB">
        <w:trPr>
          <w:cantSplit/>
          <w:trHeight w:val="47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C632A" w:rsidRDefault="009733A1" w:rsidP="00EE7AD3">
            <w:pPr>
              <w:tabs>
                <w:tab w:val="right" w:pos="7254"/>
              </w:tabs>
              <w:spacing w:before="60" w:after="60"/>
              <w:jc w:val="center"/>
              <w:rPr>
                <w:rFonts w:asciiTheme="majorBidi" w:hAnsiTheme="majorBidi" w:cstheme="majorBidi"/>
                <w:b/>
                <w:szCs w:val="24"/>
                <w:lang w:val="bg-BG"/>
              </w:rPr>
            </w:pPr>
            <w:r w:rsidRPr="00F30FC1">
              <w:rPr>
                <w:lang w:val="bg-BG"/>
              </w:rPr>
              <w:br w:type="page"/>
            </w:r>
            <w:r w:rsidRPr="008C632A">
              <w:rPr>
                <w:rFonts w:asciiTheme="majorBidi" w:hAnsiTheme="majorBidi" w:cstheme="majorBidi"/>
                <w:b/>
                <w:lang w:val="bg-BG"/>
              </w:rPr>
              <w:t>Критерии за удовлетворяване на минималните изисквания от раздел ІІ:</w:t>
            </w:r>
          </w:p>
        </w:tc>
      </w:tr>
      <w:tr w:rsidR="009733A1" w:rsidRPr="00141A3C" w:rsidTr="00B779CB">
        <w:trPr>
          <w:cantSplit/>
          <w:trHeight w:val="47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9733A1" w:rsidRPr="00E42D4C" w:rsidTr="00B779CB">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pStyle w:val="a9"/>
              <w:tabs>
                <w:tab w:val="left" w:pos="318"/>
              </w:tabs>
              <w:ind w:left="0"/>
              <w:jc w:val="both"/>
              <w:rPr>
                <w:rFonts w:asciiTheme="majorBidi" w:hAnsiTheme="majorBidi" w:cstheme="majorBidi"/>
                <w:lang w:val="bg-BG"/>
              </w:rPr>
            </w:pPr>
            <w:r w:rsidRPr="008B5CC8">
              <w:rPr>
                <w:rFonts w:asciiTheme="majorBidi" w:hAnsiTheme="majorBidi" w:cstheme="majorBidi"/>
                <w:lang w:val="bg-BG"/>
              </w:rPr>
              <w:t xml:space="preserve">Претендентът, съвместно с подизпълнител/и, покриват всички изисквания </w:t>
            </w:r>
          </w:p>
        </w:tc>
        <w:tc>
          <w:tcPr>
            <w:tcW w:w="6662" w:type="dxa"/>
            <w:tcBorders>
              <w:top w:val="single" w:sz="3" w:space="0" w:color="auto"/>
              <w:left w:val="single" w:sz="3" w:space="0" w:color="auto"/>
              <w:bottom w:val="single" w:sz="3" w:space="0" w:color="auto"/>
              <w:right w:val="single" w:sz="3" w:space="0" w:color="auto"/>
            </w:tcBorders>
            <w:shd w:val="clear" w:color="auto" w:fill="FFFFFF" w:themeFill="background1"/>
          </w:tcPr>
          <w:p w:rsidR="009733A1" w:rsidRPr="00C75F35" w:rsidRDefault="009733A1" w:rsidP="009733A1">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Pr>
                <w:iCs/>
                <w:szCs w:val="24"/>
                <w:lang w:val="bg-BG"/>
              </w:rPr>
              <w:t>1</w:t>
            </w:r>
            <w:r w:rsidRPr="00F550C5">
              <w:rPr>
                <w:iCs/>
                <w:szCs w:val="24"/>
                <w:lang w:val="bg-BG"/>
              </w:rPr>
              <w:t>.</w:t>
            </w:r>
            <w:r w:rsidR="0010663F">
              <w:rPr>
                <w:iCs/>
                <w:szCs w:val="24"/>
                <w:lang w:val="bg-BG"/>
              </w:rPr>
              <w:t>2</w:t>
            </w:r>
            <w:r w:rsidRPr="00F550C5">
              <w:rPr>
                <w:iCs/>
                <w:szCs w:val="24"/>
                <w:lang w:val="bg-BG"/>
              </w:rPr>
              <w:t>.</w:t>
            </w:r>
            <w:r>
              <w:rPr>
                <w:iCs/>
                <w:szCs w:val="24"/>
                <w:lang w:val="bg-BG"/>
              </w:rPr>
              <w:t xml:space="preserve">1, </w:t>
            </w:r>
            <w:r w:rsidR="0010663F">
              <w:rPr>
                <w:iCs/>
                <w:szCs w:val="24"/>
                <w:lang w:val="bg-BG"/>
              </w:rPr>
              <w:t>т. 1.2</w:t>
            </w:r>
            <w:r w:rsidRPr="00D5066E">
              <w:rPr>
                <w:iCs/>
                <w:szCs w:val="24"/>
                <w:lang w:val="bg-BG"/>
              </w:rPr>
              <w:t>.</w:t>
            </w:r>
            <w:r>
              <w:rPr>
                <w:iCs/>
                <w:szCs w:val="24"/>
                <w:lang w:val="bg-BG"/>
              </w:rPr>
              <w:t>2</w:t>
            </w:r>
            <w:r w:rsidRPr="00D5066E">
              <w:rPr>
                <w:iCs/>
                <w:szCs w:val="24"/>
                <w:lang w:val="bg-BG"/>
              </w:rPr>
              <w:t xml:space="preserve"> </w:t>
            </w:r>
            <w:r>
              <w:rPr>
                <w:iCs/>
                <w:szCs w:val="24"/>
                <w:lang w:val="bg-BG"/>
              </w:rPr>
              <w:t>и</w:t>
            </w:r>
            <w:r w:rsidRPr="00F550C5">
              <w:rPr>
                <w:iCs/>
                <w:szCs w:val="24"/>
                <w:lang w:val="bg-BG"/>
              </w:rPr>
              <w:t xml:space="preserve"> т. </w:t>
            </w:r>
            <w:r>
              <w:rPr>
                <w:iCs/>
                <w:szCs w:val="24"/>
                <w:lang w:val="bg-BG"/>
              </w:rPr>
              <w:t>1</w:t>
            </w:r>
            <w:r w:rsidRPr="00F550C5">
              <w:rPr>
                <w:iCs/>
                <w:szCs w:val="24"/>
                <w:lang w:val="bg-BG"/>
              </w:rPr>
              <w:t>.</w:t>
            </w:r>
            <w:r w:rsidR="0010663F">
              <w:rPr>
                <w:iCs/>
                <w:szCs w:val="24"/>
                <w:lang w:val="bg-BG"/>
              </w:rPr>
              <w:t>2.3</w:t>
            </w:r>
            <w:r>
              <w:rPr>
                <w:iCs/>
                <w:szCs w:val="24"/>
                <w:lang w:val="bg-BG"/>
              </w:rPr>
              <w:t xml:space="preserve"> </w:t>
            </w:r>
            <w:r w:rsidRPr="00F550C5">
              <w:rPr>
                <w:iCs/>
                <w:szCs w:val="24"/>
                <w:lang w:val="bg-BG"/>
              </w:rPr>
              <w:t xml:space="preserve"> </w:t>
            </w:r>
          </w:p>
          <w:p w:rsidR="009733A1" w:rsidRPr="006B7C52" w:rsidRDefault="009733A1" w:rsidP="009733A1">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9733A1" w:rsidRPr="006B7C52" w:rsidRDefault="009733A1" w:rsidP="009733A1">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взаимоотношенията с подизпълнител/и за конкретния тендер.</w:t>
            </w:r>
          </w:p>
        </w:tc>
      </w:tr>
      <w:tr w:rsidR="009733A1" w:rsidRPr="00E42D4C" w:rsidTr="00B779CB">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8B5CC8" w:rsidRDefault="009733A1" w:rsidP="009733A1">
            <w:pPr>
              <w:pStyle w:val="a9"/>
              <w:tabs>
                <w:tab w:val="left" w:pos="318"/>
              </w:tabs>
              <w:ind w:left="0"/>
              <w:jc w:val="both"/>
              <w:rPr>
                <w:rFonts w:asciiTheme="majorBidi" w:hAnsiTheme="majorBidi" w:cstheme="majorBidi"/>
                <w:lang w:val="bg-BG"/>
              </w:rPr>
            </w:pPr>
            <w:r w:rsidRPr="003D53BE">
              <w:rPr>
                <w:rFonts w:asciiTheme="majorBidi" w:hAnsiTheme="majorBidi" w:cstheme="majorBidi"/>
                <w:lang w:val="bg-BG"/>
              </w:rPr>
              <w:lastRenderedPageBreak/>
              <w:t>Претендентът, съвместно с консорциум/</w:t>
            </w:r>
            <w:r w:rsidR="00C00677">
              <w:rPr>
                <w:rFonts w:asciiTheme="majorBidi" w:hAnsiTheme="majorBidi" w:cstheme="majorBidi"/>
                <w:lang w:val="bg-BG"/>
              </w:rPr>
              <w:t xml:space="preserve"> </w:t>
            </w:r>
            <w:r w:rsidRPr="003D53BE">
              <w:rPr>
                <w:rFonts w:asciiTheme="majorBidi" w:hAnsiTheme="majorBidi" w:cstheme="majorBidi"/>
                <w:lang w:val="bg-BG"/>
              </w:rPr>
              <w:t>дружество по Закона за задълженията и договорите, покриват всички изисквания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1419D4" w:rsidRDefault="009733A1" w:rsidP="009733A1">
            <w:pPr>
              <w:autoSpaceDE w:val="0"/>
              <w:autoSpaceDN w:val="0"/>
              <w:adjustRightInd w:val="0"/>
              <w:spacing w:before="60"/>
              <w:ind w:right="249"/>
              <w:rPr>
                <w:rFonts w:asciiTheme="majorBidi" w:hAnsiTheme="majorBidi" w:cstheme="majorBidi"/>
                <w:szCs w:val="24"/>
                <w:lang w:val="ru-RU"/>
              </w:rPr>
            </w:pPr>
            <w:r w:rsidRPr="008B5CC8">
              <w:rPr>
                <w:rFonts w:asciiTheme="majorBidi" w:hAnsiTheme="majorBidi" w:cstheme="majorBidi"/>
                <w:szCs w:val="24"/>
                <w:lang w:val="bg-BG"/>
              </w:rPr>
              <w:t>ДА</w:t>
            </w:r>
            <w:r w:rsidRPr="007F6B6D">
              <w:rPr>
                <w:rFonts w:asciiTheme="majorBidi" w:hAnsiTheme="majorBidi" w:cstheme="majorBidi"/>
                <w:szCs w:val="24"/>
                <w:lang w:val="ru-RU"/>
              </w:rPr>
              <w:t xml:space="preserve"> -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представя</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официални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документи</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съдружие</w:t>
            </w:r>
            <w:proofErr w:type="spellEnd"/>
            <w:r w:rsidRPr="001419D4">
              <w:rPr>
                <w:rFonts w:asciiTheme="majorBidi" w:hAnsiTheme="majorBidi" w:cstheme="majorBidi"/>
                <w:szCs w:val="24"/>
                <w:lang w:val="ru-RU"/>
              </w:rPr>
              <w:t>/</w:t>
            </w:r>
            <w:proofErr w:type="spellStart"/>
            <w:r w:rsidRPr="001419D4">
              <w:rPr>
                <w:rFonts w:asciiTheme="majorBidi" w:hAnsiTheme="majorBidi" w:cstheme="majorBidi"/>
                <w:szCs w:val="24"/>
                <w:lang w:val="ru-RU"/>
              </w:rPr>
              <w:t>споразумение</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контрола</w:t>
            </w:r>
            <w:proofErr w:type="spellEnd"/>
            <w:r w:rsidRPr="001419D4">
              <w:rPr>
                <w:rFonts w:asciiTheme="majorBidi" w:hAnsiTheme="majorBidi" w:cstheme="majorBidi"/>
                <w:szCs w:val="24"/>
                <w:lang w:val="ru-RU"/>
              </w:rPr>
              <w:t xml:space="preserve"> на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w:t>
            </w:r>
          </w:p>
          <w:p w:rsidR="009733A1" w:rsidRPr="007F6B6D" w:rsidRDefault="009733A1" w:rsidP="009733A1">
            <w:pPr>
              <w:autoSpaceDE w:val="0"/>
              <w:autoSpaceDN w:val="0"/>
              <w:adjustRightInd w:val="0"/>
              <w:spacing w:before="60"/>
              <w:ind w:right="249"/>
              <w:rPr>
                <w:rFonts w:asciiTheme="majorBidi" w:hAnsiTheme="majorBidi" w:cstheme="majorBidi"/>
                <w:color w:val="0000FF"/>
                <w:lang w:val="ru-RU"/>
              </w:rPr>
            </w:pPr>
            <w:r>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Претендентът</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попълва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съответната</w:t>
            </w:r>
            <w:proofErr w:type="spellEnd"/>
            <w:r w:rsidRPr="001419D4">
              <w:rPr>
                <w:rFonts w:asciiTheme="majorBidi" w:hAnsiTheme="majorBidi" w:cstheme="majorBidi"/>
                <w:szCs w:val="24"/>
                <w:lang w:val="ru-RU"/>
              </w:rPr>
              <w:t xml:space="preserve"> информация за </w:t>
            </w:r>
            <w:proofErr w:type="spellStart"/>
            <w:r w:rsidRPr="001419D4">
              <w:rPr>
                <w:rFonts w:asciiTheme="majorBidi" w:hAnsiTheme="majorBidi" w:cstheme="majorBidi"/>
                <w:szCs w:val="24"/>
                <w:lang w:val="ru-RU"/>
              </w:rPr>
              <w:t>съдружниците</w:t>
            </w:r>
            <w:proofErr w:type="spellEnd"/>
            <w:r w:rsidRPr="001419D4">
              <w:rPr>
                <w:rFonts w:asciiTheme="majorBidi" w:hAnsiTheme="majorBidi" w:cstheme="majorBidi"/>
                <w:szCs w:val="24"/>
                <w:lang w:val="ru-RU"/>
              </w:rPr>
              <w:t xml:space="preserve"> (за </w:t>
            </w:r>
            <w:proofErr w:type="spellStart"/>
            <w:r w:rsidRPr="001419D4">
              <w:rPr>
                <w:rFonts w:asciiTheme="majorBidi" w:hAnsiTheme="majorBidi" w:cstheme="majorBidi"/>
                <w:szCs w:val="24"/>
                <w:lang w:val="ru-RU"/>
              </w:rPr>
              <w:t>всеки</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поотделно</w:t>
            </w:r>
            <w:proofErr w:type="spellEnd"/>
            <w:r w:rsidRPr="001419D4">
              <w:rPr>
                <w:rFonts w:asciiTheme="majorBidi" w:hAnsiTheme="majorBidi" w:cstheme="majorBidi"/>
                <w:szCs w:val="24"/>
                <w:lang w:val="ru-RU"/>
              </w:rPr>
              <w:t xml:space="preserve">) и </w:t>
            </w:r>
            <w:proofErr w:type="spellStart"/>
            <w:r w:rsidRPr="001419D4">
              <w:rPr>
                <w:rFonts w:asciiTheme="majorBidi" w:hAnsiTheme="majorBidi" w:cstheme="majorBidi"/>
                <w:szCs w:val="24"/>
                <w:lang w:val="ru-RU"/>
              </w:rPr>
              <w:t>главния</w:t>
            </w:r>
            <w:proofErr w:type="spellEnd"/>
            <w:r w:rsidRPr="001419D4">
              <w:rPr>
                <w:rFonts w:asciiTheme="majorBidi" w:hAnsiTheme="majorBidi" w:cstheme="majorBidi"/>
                <w:szCs w:val="24"/>
                <w:lang w:val="ru-RU"/>
              </w:rPr>
              <w:t xml:space="preserve"> офис (</w:t>
            </w:r>
            <w:proofErr w:type="spellStart"/>
            <w:r w:rsidRPr="001419D4">
              <w:rPr>
                <w:rFonts w:asciiTheme="majorBidi" w:hAnsiTheme="majorBidi" w:cstheme="majorBidi"/>
                <w:szCs w:val="24"/>
                <w:lang w:val="ru-RU"/>
              </w:rPr>
              <w:t>ако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има</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във</w:t>
            </w:r>
            <w:proofErr w:type="spellEnd"/>
            <w:r w:rsidRPr="001419D4">
              <w:rPr>
                <w:rFonts w:asciiTheme="majorBidi" w:hAnsiTheme="majorBidi" w:cstheme="majorBidi"/>
                <w:szCs w:val="24"/>
                <w:lang w:val="ru-RU"/>
              </w:rPr>
              <w:t xml:space="preserve"> Форма 1, </w:t>
            </w:r>
            <w:proofErr w:type="spellStart"/>
            <w:r w:rsidRPr="001419D4">
              <w:rPr>
                <w:rFonts w:asciiTheme="majorBidi" w:hAnsiTheme="majorBidi" w:cstheme="majorBidi"/>
                <w:szCs w:val="24"/>
                <w:lang w:val="ru-RU"/>
              </w:rPr>
              <w:t>съгласно</w:t>
            </w:r>
            <w:proofErr w:type="spellEnd"/>
            <w:r w:rsidRPr="001419D4">
              <w:rPr>
                <w:rFonts w:asciiTheme="majorBidi" w:hAnsiTheme="majorBidi" w:cstheme="majorBidi"/>
                <w:szCs w:val="24"/>
                <w:lang w:val="ru-RU"/>
              </w:rPr>
              <w:t xml:space="preserve"> </w:t>
            </w:r>
            <w:proofErr w:type="spellStart"/>
            <w:r w:rsidRPr="001419D4">
              <w:rPr>
                <w:rFonts w:asciiTheme="majorBidi" w:hAnsiTheme="majorBidi" w:cstheme="majorBidi"/>
                <w:szCs w:val="24"/>
                <w:lang w:val="ru-RU"/>
              </w:rPr>
              <w:t>изискванията</w:t>
            </w:r>
            <w:proofErr w:type="spellEnd"/>
            <w:r w:rsidRPr="001419D4">
              <w:rPr>
                <w:rFonts w:asciiTheme="majorBidi" w:hAnsiTheme="majorBidi" w:cstheme="majorBidi"/>
                <w:szCs w:val="24"/>
                <w:lang w:val="ru-RU"/>
              </w:rPr>
              <w:t xml:space="preserve"> на АСПТ.</w:t>
            </w:r>
          </w:p>
        </w:tc>
      </w:tr>
      <w:tr w:rsidR="009733A1" w:rsidRPr="00E42D4C" w:rsidTr="00B779CB">
        <w:trPr>
          <w:cantSplit/>
          <w:trHeight w:val="47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33A1" w:rsidRPr="00EE213E" w:rsidRDefault="009733A1" w:rsidP="009733A1">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9733A1" w:rsidRPr="008C632A" w:rsidRDefault="009733A1" w:rsidP="009733A1">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Не се допускат до участие в </w:t>
            </w:r>
            <w:proofErr w:type="spellStart"/>
            <w:r w:rsidRPr="008C632A">
              <w:rPr>
                <w:rFonts w:asciiTheme="majorBidi" w:hAnsiTheme="majorBidi" w:cstheme="majorBidi"/>
                <w:b/>
                <w:szCs w:val="24"/>
                <w:lang w:val="bg-BG" w:eastAsia="ru-RU"/>
              </w:rPr>
              <w:t>тендерна</w:t>
            </w:r>
            <w:proofErr w:type="spellEnd"/>
            <w:r w:rsidRPr="008C632A">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9733A1" w:rsidRPr="008C632A" w:rsidRDefault="009733A1" w:rsidP="009733A1">
            <w:pPr>
              <w:tabs>
                <w:tab w:val="right" w:pos="7254"/>
              </w:tabs>
              <w:spacing w:before="60" w:after="60"/>
              <w:rPr>
                <w:rFonts w:asciiTheme="majorBidi" w:hAnsiTheme="majorBidi" w:cstheme="majorBidi"/>
                <w:b/>
                <w:szCs w:val="24"/>
                <w:lang w:val="bg-BG" w:eastAsia="ru-RU"/>
              </w:rPr>
            </w:pPr>
            <w:r w:rsidRPr="008C632A">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 xml:space="preserve">, няма да бъдат допускани до участие в </w:t>
            </w:r>
            <w:proofErr w:type="spellStart"/>
            <w:r w:rsidRPr="008C632A">
              <w:rPr>
                <w:rFonts w:asciiTheme="majorBidi" w:hAnsiTheme="majorBidi" w:cstheme="majorBidi"/>
                <w:b/>
                <w:szCs w:val="24"/>
                <w:lang w:val="bg-BG" w:eastAsia="ru-RU"/>
              </w:rPr>
              <w:t>тендера</w:t>
            </w:r>
            <w:proofErr w:type="spellEnd"/>
            <w:r w:rsidRPr="008C632A">
              <w:rPr>
                <w:rFonts w:asciiTheme="majorBidi" w:hAnsiTheme="majorBidi" w:cstheme="majorBidi"/>
                <w:b/>
                <w:szCs w:val="24"/>
                <w:lang w:val="bg-BG" w:eastAsia="ru-RU"/>
              </w:rPr>
              <w:t>.</w:t>
            </w:r>
          </w:p>
          <w:p w:rsidR="009733A1" w:rsidRPr="00F30FC1" w:rsidRDefault="009733A1" w:rsidP="009733A1">
            <w:pPr>
              <w:tabs>
                <w:tab w:val="right" w:pos="7254"/>
              </w:tabs>
              <w:spacing w:before="60" w:after="60"/>
              <w:rPr>
                <w:rFonts w:asciiTheme="majorBidi" w:hAnsiTheme="majorBidi" w:cstheme="majorBidi"/>
                <w:szCs w:val="24"/>
                <w:lang w:val="bg-BG" w:eastAsia="ru-RU"/>
              </w:rPr>
            </w:pPr>
            <w:r w:rsidRPr="008C632A">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9733A1" w:rsidRPr="00E42D4C" w:rsidTr="00B779CB">
        <w:trPr>
          <w:cantSplit/>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9733A1" w:rsidRPr="003D7288" w:rsidRDefault="009733A1" w:rsidP="00EE7AD3">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III.  Срокове за отделните етапи на провеждане на тендера</w:t>
            </w:r>
          </w:p>
        </w:tc>
      </w:tr>
      <w:tr w:rsidR="009733A1" w:rsidRPr="003D7288"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3.1.</w:t>
            </w:r>
            <w:r w:rsidRPr="00873248">
              <w:rPr>
                <w:rFonts w:asciiTheme="majorBidi" w:hAnsiTheme="majorBidi" w:cstheme="majorBidi"/>
                <w:szCs w:val="24"/>
                <w:lang w:val="bg-BG"/>
              </w:rPr>
              <w:tab/>
              <w:t xml:space="preserve">Краен срок за </w:t>
            </w:r>
            <w:r>
              <w:rPr>
                <w:rFonts w:asciiTheme="majorBidi" w:hAnsiTheme="majorBidi" w:cstheme="majorBidi"/>
                <w:szCs w:val="24"/>
                <w:lang w:val="bg-BG"/>
              </w:rPr>
              <w:t>заявяване н</w:t>
            </w:r>
            <w:r w:rsidRPr="00873248">
              <w:rPr>
                <w:rFonts w:asciiTheme="majorBidi" w:hAnsiTheme="majorBidi" w:cstheme="majorBidi"/>
                <w:szCs w:val="24"/>
                <w:lang w:val="bg-BG"/>
              </w:rPr>
              <w:t>а участие в АСПТ*</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FE0BD9" w:rsidRDefault="009733A1" w:rsidP="00EF3249">
            <w:pPr>
              <w:tabs>
                <w:tab w:val="center" w:pos="4677"/>
                <w:tab w:val="right" w:pos="9355"/>
              </w:tabs>
              <w:spacing w:before="60" w:after="60"/>
              <w:jc w:val="left"/>
              <w:rPr>
                <w:rFonts w:asciiTheme="majorBidi" w:hAnsiTheme="majorBidi" w:cstheme="majorBidi"/>
                <w:i/>
                <w:iCs/>
                <w:szCs w:val="24"/>
                <w:highlight w:val="yellow"/>
                <w:lang w:val="bg-BG"/>
              </w:rPr>
            </w:pPr>
            <w:r w:rsidRPr="00FE0BD9">
              <w:rPr>
                <w:rFonts w:asciiTheme="majorBidi" w:hAnsiTheme="majorBidi" w:cstheme="majorBidi"/>
                <w:szCs w:val="24"/>
                <w:lang w:val="bg-BG"/>
              </w:rPr>
              <w:t xml:space="preserve">до 16 ч. на </w:t>
            </w:r>
            <w:r w:rsidR="006C5351">
              <w:rPr>
                <w:rFonts w:asciiTheme="majorBidi" w:hAnsiTheme="majorBidi" w:cstheme="majorBidi"/>
                <w:szCs w:val="24"/>
                <w:lang w:val="bg-BG"/>
              </w:rPr>
              <w:t>2</w:t>
            </w:r>
            <w:r w:rsidR="00EF3249">
              <w:rPr>
                <w:rFonts w:asciiTheme="majorBidi" w:hAnsiTheme="majorBidi" w:cstheme="majorBidi"/>
                <w:szCs w:val="24"/>
                <w:lang w:val="bg-BG"/>
              </w:rPr>
              <w:t>6</w:t>
            </w:r>
            <w:r w:rsidRPr="00EE634A">
              <w:rPr>
                <w:rFonts w:asciiTheme="majorBidi" w:hAnsiTheme="majorBidi" w:cstheme="majorBidi"/>
                <w:szCs w:val="24"/>
                <w:lang w:val="bg-BG"/>
              </w:rPr>
              <w:t>.0</w:t>
            </w:r>
            <w:r w:rsidR="00445EAD">
              <w:rPr>
                <w:rFonts w:asciiTheme="majorBidi" w:hAnsiTheme="majorBidi" w:cstheme="majorBidi"/>
                <w:szCs w:val="24"/>
                <w:lang w:val="bg-BG"/>
              </w:rPr>
              <w:t>8</w:t>
            </w:r>
            <w:r w:rsidRPr="00EE634A">
              <w:rPr>
                <w:rFonts w:asciiTheme="majorBidi" w:hAnsiTheme="majorBidi" w:cstheme="majorBidi"/>
                <w:szCs w:val="24"/>
                <w:lang w:val="bg-BG"/>
              </w:rPr>
              <w:t>.2022г.</w:t>
            </w:r>
          </w:p>
        </w:tc>
      </w:tr>
      <w:tr w:rsidR="009733A1" w:rsidRPr="003D7288"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 w:val="center" w:pos="4677"/>
                <w:tab w:val="right" w:pos="9355"/>
              </w:tabs>
              <w:spacing w:before="60" w:after="60"/>
              <w:rPr>
                <w:rFonts w:asciiTheme="majorBidi" w:hAnsiTheme="majorBidi" w:cstheme="majorBidi"/>
                <w:szCs w:val="24"/>
                <w:lang w:val="bg-BG"/>
              </w:rPr>
            </w:pPr>
            <w:r w:rsidRPr="00873248">
              <w:rPr>
                <w:rFonts w:asciiTheme="majorBidi" w:hAnsiTheme="majorBidi" w:cstheme="majorBidi"/>
                <w:szCs w:val="24"/>
                <w:lang w:val="bg-BG"/>
              </w:rPr>
              <w:t>3.2.</w:t>
            </w:r>
            <w:r w:rsidRPr="00873248">
              <w:rPr>
                <w:rFonts w:asciiTheme="majorBidi" w:hAnsiTheme="majorBidi" w:cstheme="majorBidi"/>
                <w:szCs w:val="24"/>
                <w:lang w:val="bg-BG"/>
              </w:rPr>
              <w:tab/>
              <w:t>Краен срок за Искане за разяснения (форма 11 от АСПТ) от Претендента</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70367A" w:rsidRDefault="00EF3249" w:rsidP="00EF3249">
            <w:pPr>
              <w:tabs>
                <w:tab w:val="center" w:pos="4677"/>
                <w:tab w:val="right" w:pos="9355"/>
              </w:tabs>
              <w:spacing w:before="60" w:after="60"/>
              <w:jc w:val="left"/>
              <w:rPr>
                <w:rFonts w:asciiTheme="majorBidi" w:hAnsiTheme="majorBidi" w:cstheme="majorBidi"/>
                <w:i/>
                <w:iCs/>
                <w:color w:val="FF0000"/>
                <w:szCs w:val="24"/>
                <w:highlight w:val="yellow"/>
                <w:lang w:val="bg-BG"/>
              </w:rPr>
            </w:pPr>
            <w:r>
              <w:rPr>
                <w:rFonts w:asciiTheme="majorBidi" w:hAnsiTheme="majorBidi" w:cstheme="majorBidi"/>
                <w:szCs w:val="24"/>
                <w:lang w:val="bg-BG"/>
              </w:rPr>
              <w:t>31</w:t>
            </w:r>
            <w:r w:rsidR="009733A1" w:rsidRPr="00EE634A">
              <w:rPr>
                <w:rFonts w:asciiTheme="majorBidi" w:hAnsiTheme="majorBidi" w:cstheme="majorBidi"/>
                <w:szCs w:val="24"/>
                <w:lang w:val="bg-BG"/>
              </w:rPr>
              <w:t>.0</w:t>
            </w:r>
            <w:r w:rsidR="00445EAD">
              <w:rPr>
                <w:rFonts w:asciiTheme="majorBidi" w:hAnsiTheme="majorBidi" w:cstheme="majorBidi"/>
                <w:szCs w:val="24"/>
                <w:lang w:val="bg-BG"/>
              </w:rPr>
              <w:t>8</w:t>
            </w:r>
            <w:r w:rsidR="009733A1" w:rsidRPr="00EE634A">
              <w:rPr>
                <w:rFonts w:asciiTheme="majorBidi" w:hAnsiTheme="majorBidi" w:cstheme="majorBidi"/>
                <w:szCs w:val="24"/>
                <w:lang w:val="bg-BG"/>
              </w:rPr>
              <w:t>.2022г.</w:t>
            </w:r>
          </w:p>
        </w:tc>
      </w:tr>
      <w:tr w:rsidR="009733A1" w:rsidRPr="003A0E37" w:rsidTr="00C00677">
        <w:trPr>
          <w:cantSplit/>
        </w:trPr>
        <w:tc>
          <w:tcPr>
            <w:tcW w:w="3545" w:type="dxa"/>
            <w:tcBorders>
              <w:top w:val="single" w:sz="4" w:space="0" w:color="auto"/>
              <w:left w:val="single" w:sz="4" w:space="0" w:color="auto"/>
              <w:bottom w:val="single" w:sz="4" w:space="0" w:color="auto"/>
              <w:right w:val="single" w:sz="4" w:space="0" w:color="auto"/>
            </w:tcBorders>
            <w:vAlign w:val="center"/>
          </w:tcPr>
          <w:p w:rsidR="009733A1" w:rsidRPr="00873248" w:rsidRDefault="009733A1" w:rsidP="009733A1">
            <w:pPr>
              <w:tabs>
                <w:tab w:val="left" w:pos="460"/>
              </w:tabs>
              <w:spacing w:before="60"/>
              <w:rPr>
                <w:rFonts w:asciiTheme="majorBidi" w:hAnsiTheme="majorBidi" w:cstheme="majorBidi"/>
                <w:szCs w:val="24"/>
                <w:lang w:val="bg-BG"/>
              </w:rPr>
            </w:pPr>
            <w:r w:rsidRPr="00873248">
              <w:rPr>
                <w:rFonts w:asciiTheme="majorBidi" w:hAnsiTheme="majorBidi" w:cstheme="majorBidi"/>
                <w:szCs w:val="24"/>
                <w:lang w:val="bg-BG"/>
              </w:rPr>
              <w:t>3.3.</w:t>
            </w:r>
            <w:r w:rsidRPr="00873248">
              <w:rPr>
                <w:rFonts w:asciiTheme="majorBidi" w:hAnsiTheme="majorBidi" w:cstheme="majorBidi"/>
                <w:szCs w:val="24"/>
                <w:lang w:val="bg-BG"/>
              </w:rPr>
              <w:tab/>
              <w:t>Краен срок за приемане на оферти в АСПТ</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70367A" w:rsidRDefault="00E42D4C" w:rsidP="00EF3249">
            <w:pPr>
              <w:spacing w:before="60"/>
              <w:rPr>
                <w:rFonts w:asciiTheme="majorBidi" w:hAnsiTheme="majorBidi" w:cstheme="majorBidi"/>
                <w:color w:val="FF0000"/>
                <w:szCs w:val="24"/>
                <w:highlight w:val="yellow"/>
                <w:lang w:val="bg-BG"/>
              </w:rPr>
            </w:pPr>
            <w:r>
              <w:rPr>
                <w:rFonts w:asciiTheme="majorBidi" w:hAnsiTheme="majorBidi" w:cstheme="majorBidi"/>
                <w:szCs w:val="24"/>
                <w:lang w:val="bg-BG"/>
              </w:rPr>
              <w:t>0</w:t>
            </w:r>
            <w:r>
              <w:rPr>
                <w:rFonts w:asciiTheme="majorBidi" w:hAnsiTheme="majorBidi" w:cstheme="majorBidi"/>
                <w:szCs w:val="24"/>
              </w:rPr>
              <w:t>1</w:t>
            </w:r>
            <w:bookmarkStart w:id="1" w:name="_GoBack"/>
            <w:bookmarkEnd w:id="1"/>
            <w:r w:rsidR="009733A1" w:rsidRPr="00EE634A">
              <w:rPr>
                <w:rFonts w:asciiTheme="majorBidi" w:hAnsiTheme="majorBidi" w:cstheme="majorBidi"/>
                <w:szCs w:val="24"/>
                <w:lang w:val="bg-BG"/>
              </w:rPr>
              <w:t>.0</w:t>
            </w:r>
            <w:r w:rsidR="00EF3249">
              <w:rPr>
                <w:rFonts w:asciiTheme="majorBidi" w:hAnsiTheme="majorBidi" w:cstheme="majorBidi"/>
                <w:szCs w:val="24"/>
                <w:lang w:val="bg-BG"/>
              </w:rPr>
              <w:t>9</w:t>
            </w:r>
            <w:r w:rsidR="009733A1" w:rsidRPr="00EE634A">
              <w:rPr>
                <w:rFonts w:asciiTheme="majorBidi" w:hAnsiTheme="majorBidi" w:cstheme="majorBidi"/>
                <w:szCs w:val="24"/>
                <w:lang w:val="bg-BG"/>
              </w:rPr>
              <w:t>.2022г.</w:t>
            </w:r>
          </w:p>
        </w:tc>
      </w:tr>
      <w:tr w:rsidR="009733A1" w:rsidRPr="00E42D4C" w:rsidTr="00B779CB">
        <w:tblPrEx>
          <w:tblBorders>
            <w:insideH w:val="single" w:sz="8" w:space="0" w:color="000000"/>
          </w:tblBorders>
        </w:tblPrEx>
        <w:trPr>
          <w:trHeight w:val="455"/>
        </w:trPr>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tabs>
                <w:tab w:val="right" w:pos="743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9733A1" w:rsidRPr="003D7288" w:rsidTr="00C00677">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(e-mail) за електронна кореспонденция</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E42D4C" w:rsidP="009733A1">
            <w:pPr>
              <w:spacing w:before="60"/>
              <w:rPr>
                <w:rFonts w:asciiTheme="majorBidi" w:hAnsiTheme="majorBidi" w:cstheme="majorBidi"/>
                <w:szCs w:val="24"/>
                <w:lang w:val="bg-BG"/>
              </w:rPr>
            </w:pPr>
            <w:hyperlink r:id="rId8" w:history="1">
              <w:r w:rsidR="009733A1" w:rsidRPr="003D7288">
                <w:rPr>
                  <w:rStyle w:val="a8"/>
                  <w:rFonts w:asciiTheme="majorBidi" w:hAnsiTheme="majorBidi" w:cstheme="majorBidi"/>
                  <w:color w:val="auto"/>
                  <w:szCs w:val="24"/>
                  <w:u w:val="none"/>
                  <w:lang w:val="bg-BG"/>
                </w:rPr>
                <w:t>съгласно</w:t>
              </w:r>
            </w:hyperlink>
            <w:r w:rsidR="009733A1" w:rsidRPr="003D7288">
              <w:rPr>
                <w:rStyle w:val="a8"/>
                <w:rFonts w:asciiTheme="majorBidi" w:hAnsiTheme="majorBidi" w:cstheme="majorBidi"/>
                <w:color w:val="auto"/>
                <w:szCs w:val="24"/>
                <w:u w:val="none"/>
                <w:lang w:val="bg-BG"/>
              </w:rPr>
              <w:t xml:space="preserve"> АСПТ</w:t>
            </w:r>
          </w:p>
        </w:tc>
      </w:tr>
      <w:tr w:rsidR="009733A1" w:rsidRPr="003D7288"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9733A1" w:rsidRPr="003D7288" w:rsidTr="00C00677">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9733A1" w:rsidRPr="003D7288"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 xml:space="preserve">Валута. </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9733A1" w:rsidRPr="00E42D4C"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EE7AD3">
            <w:pPr>
              <w:tabs>
                <w:tab w:val="right" w:pos="743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VI.  Приемане и отваряне на тендерните предложения</w:t>
            </w:r>
          </w:p>
        </w:tc>
      </w:tr>
      <w:tr w:rsidR="009733A1" w:rsidRPr="00E42D4C"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t>Подаване на оферти</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03623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9733A1" w:rsidRPr="003D7288" w:rsidTr="00C00677">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 търговската част на офертите</w:t>
            </w:r>
          </w:p>
        </w:tc>
        <w:tc>
          <w:tcPr>
            <w:tcW w:w="6662" w:type="dxa"/>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9733A1" w:rsidRPr="003D7288"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EE7AD3">
            <w:pPr>
              <w:keepNext/>
              <w:keepLines/>
              <w:tabs>
                <w:tab w:val="right" w:pos="7434"/>
              </w:tabs>
              <w:spacing w:before="60" w:after="40"/>
              <w:jc w:val="center"/>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9733A1" w:rsidRPr="003D7288"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445EAD">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Техническа част: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445EAD">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Списък на документите в </w:t>
            </w:r>
            <w:r w:rsidR="00445EAD">
              <w:rPr>
                <w:rFonts w:asciiTheme="majorBidi" w:hAnsiTheme="majorBidi" w:cstheme="majorBidi"/>
                <w:lang w:val="bg-BG"/>
              </w:rPr>
              <w:t>Техническа част</w:t>
            </w:r>
            <w:r w:rsidRPr="003D7288">
              <w:rPr>
                <w:rFonts w:asciiTheme="majorBidi" w:hAnsiTheme="majorBidi" w:cstheme="majorBidi"/>
                <w:lang w:val="bg-BG"/>
              </w:rPr>
              <w:t>; Форма 9, съгласно изискванията на АСПТ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Квалификационни изисквания; Форма 1, съгласно изискванията на АСПТ   </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 съгласно изискванията на АСПТ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 съгласно изискванията на АСПТ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График на доставките / за извършване на работите / за предоставяне на услугите; Форма 5, съгласно изискванията на АСПТ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 –</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9733A1" w:rsidRPr="00E42D4C" w:rsidTr="00C00677">
        <w:tblPrEx>
          <w:tblBorders>
            <w:insideH w:val="single" w:sz="8" w:space="0" w:color="000000"/>
          </w:tblBorders>
        </w:tblPrEx>
        <w:trPr>
          <w:trHeight w:val="554"/>
        </w:trPr>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Pr="00033044">
              <w:rPr>
                <w:rFonts w:asciiTheme="majorBidi" w:hAnsiTheme="majorBidi" w:cstheme="majorBidi"/>
              </w:rPr>
              <w:t xml:space="preserve"> </w:t>
            </w:r>
            <w:r>
              <w:rPr>
                <w:rFonts w:asciiTheme="majorBidi" w:hAnsiTheme="majorBidi" w:cstheme="majorBidi"/>
                <w:lang w:val="bg-BG"/>
              </w:rPr>
              <w:t>п</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Pr="003D7288">
              <w:rPr>
                <w:lang w:val="bg-BG"/>
              </w:rPr>
              <w:t xml:space="preserve"> </w:t>
            </w:r>
            <w:r w:rsidRPr="003D7288">
              <w:rPr>
                <w:rFonts w:asciiTheme="majorBidi" w:hAnsiTheme="majorBidi" w:cstheme="majorBidi"/>
                <w:lang w:val="bg-BG"/>
              </w:rPr>
              <w:t>Форма 1</w:t>
            </w:r>
            <w:r>
              <w:rPr>
                <w:rFonts w:asciiTheme="majorBidi" w:hAnsiTheme="majorBidi" w:cstheme="majorBidi"/>
                <w:lang w:val="bg-BG"/>
              </w:rPr>
              <w:t>, съгласно изискванията на АСПТ</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9733A1" w:rsidRPr="00E42D4C" w:rsidTr="00C00677">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vAlign w:val="center"/>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Pr>
                <w:rFonts w:asciiTheme="majorBidi" w:hAnsiTheme="majorBidi" w:cstheme="majorBidi"/>
                <w:lang w:val="bg-BG"/>
              </w:rPr>
              <w:t>стоверението за Актуално състояние на п</w:t>
            </w:r>
            <w:r w:rsidRPr="003D7288">
              <w:rPr>
                <w:rFonts w:asciiTheme="majorBidi" w:hAnsiTheme="majorBidi" w:cstheme="majorBidi"/>
                <w:lang w:val="bg-BG"/>
              </w:rPr>
              <w:t>ретенде</w:t>
            </w:r>
            <w:r>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r>
              <w:rPr>
                <w:rFonts w:asciiTheme="majorBidi" w:hAnsiTheme="majorBidi" w:cstheme="majorBidi"/>
              </w:rPr>
              <w:t>–</w:t>
            </w:r>
            <w:r w:rsidRPr="00390929">
              <w:rPr>
                <w:rFonts w:asciiTheme="majorBidi" w:hAnsiTheme="majorBidi" w:cstheme="majorBidi"/>
              </w:rPr>
              <w:t xml:space="preserve"> </w:t>
            </w:r>
            <w:r>
              <w:rPr>
                <w:rFonts w:asciiTheme="majorBidi" w:hAnsiTheme="majorBidi" w:cstheme="majorBidi"/>
                <w:lang w:val="bg-BG"/>
              </w:rPr>
              <w:t>не се прилага.</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Pr="003D7288">
              <w:rPr>
                <w:lang w:val="bg-BG"/>
              </w:rPr>
              <w:t xml:space="preserve"> </w:t>
            </w:r>
            <w:r w:rsidRPr="003D7288">
              <w:rPr>
                <w:rFonts w:asciiTheme="majorBidi" w:hAnsiTheme="majorBidi" w:cstheme="majorBidi"/>
                <w:lang w:val="bg-BG"/>
              </w:rPr>
              <w:t xml:space="preserve">Форма 1, съгласно изискванията на АСПТ   </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445EAD">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w:t>
            </w:r>
            <w:r w:rsidR="00445EAD">
              <w:rPr>
                <w:rFonts w:asciiTheme="majorBidi" w:hAnsiTheme="majorBidi" w:cstheme="majorBidi"/>
                <w:lang w:val="bg-BG"/>
              </w:rPr>
              <w:t>техническа част</w:t>
            </w:r>
            <w:r w:rsidRPr="003D7288">
              <w:rPr>
                <w:rFonts w:asciiTheme="majorBidi" w:hAnsiTheme="majorBidi" w:cstheme="majorBidi"/>
                <w:lang w:val="bg-BG"/>
              </w:rPr>
              <w:t xml:space="preserve"> във формат PDF (записани на електронен носител флаш памет и/или компакт диск, който се поставя в </w:t>
            </w:r>
            <w:r w:rsidR="00445EAD">
              <w:rPr>
                <w:rFonts w:asciiTheme="majorBidi" w:hAnsiTheme="majorBidi" w:cstheme="majorBidi"/>
                <w:lang w:val="bg-BG"/>
              </w:rPr>
              <w:t>техническата част</w:t>
            </w:r>
            <w:r w:rsidRPr="003D7288">
              <w:rPr>
                <w:rFonts w:asciiTheme="majorBidi" w:hAnsiTheme="majorBidi" w:cstheme="majorBidi"/>
                <w:lang w:val="bg-BG"/>
              </w:rPr>
              <w:t>)</w:t>
            </w:r>
            <w:r>
              <w:rPr>
                <w:rFonts w:asciiTheme="majorBidi" w:hAnsiTheme="majorBidi" w:cstheme="majorBidi"/>
                <w:lang w:val="bg-BG"/>
              </w:rPr>
              <w:t xml:space="preserve"> </w:t>
            </w:r>
            <w:r w:rsidRPr="003D7288">
              <w:rPr>
                <w:rFonts w:asciiTheme="majorBidi" w:hAnsiTheme="majorBidi" w:cstheme="majorBidi"/>
                <w:lang w:val="bg-BG"/>
              </w:rPr>
              <w:t xml:space="preserve">- 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9733A1" w:rsidRPr="003D7288" w:rsidRDefault="009733A1" w:rsidP="009733A1">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9733A1" w:rsidRPr="003D7288"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445EAD" w:rsidP="009733A1">
            <w:pPr>
              <w:tabs>
                <w:tab w:val="left" w:pos="0"/>
              </w:tabs>
              <w:autoSpaceDE w:val="0"/>
              <w:autoSpaceDN w:val="0"/>
              <w:adjustRightInd w:val="0"/>
              <w:spacing w:before="60"/>
              <w:ind w:left="459" w:right="127" w:hanging="442"/>
              <w:rPr>
                <w:rFonts w:asciiTheme="majorBidi" w:hAnsiTheme="majorBidi" w:cstheme="majorBidi"/>
                <w:b/>
                <w:szCs w:val="24"/>
                <w:lang w:val="bg-BG"/>
              </w:rPr>
            </w:pPr>
            <w:r>
              <w:rPr>
                <w:rFonts w:asciiTheme="majorBidi" w:hAnsiTheme="majorBidi" w:cstheme="majorBidi"/>
                <w:b/>
                <w:szCs w:val="24"/>
                <w:lang w:val="bg-BG"/>
              </w:rPr>
              <w:t>Търговска част:</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445EAD">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 xml:space="preserve">Списък на документите в </w:t>
            </w:r>
            <w:r w:rsidR="00445EAD">
              <w:rPr>
                <w:rFonts w:asciiTheme="majorBidi" w:hAnsiTheme="majorBidi" w:cstheme="majorBidi"/>
                <w:lang w:val="bg-BG"/>
              </w:rPr>
              <w:t>Търговска част</w:t>
            </w:r>
            <w:r w:rsidRPr="003D7288">
              <w:rPr>
                <w:rFonts w:asciiTheme="majorBidi" w:hAnsiTheme="majorBidi" w:cstheme="majorBidi"/>
                <w:lang w:val="bg-BG"/>
              </w:rPr>
              <w:t>; Форма 9, съгласно изискванията на АСПТ</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 съгласно изискванията на АСПТ</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9733A1">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  съгласно изискванията на АСПТ</w:t>
            </w:r>
          </w:p>
        </w:tc>
      </w:tr>
      <w:tr w:rsidR="009733A1" w:rsidRPr="00E42D4C" w:rsidTr="00B779CB">
        <w:tblPrEx>
          <w:tblBorders>
            <w:insideH w:val="single" w:sz="8" w:space="0" w:color="000000"/>
          </w:tblBorders>
        </w:tblPrEx>
        <w:tc>
          <w:tcPr>
            <w:tcW w:w="10207" w:type="dxa"/>
            <w:gridSpan w:val="2"/>
            <w:tcBorders>
              <w:top w:val="single" w:sz="4" w:space="0" w:color="auto"/>
              <w:left w:val="single" w:sz="4" w:space="0" w:color="auto"/>
              <w:bottom w:val="single" w:sz="4" w:space="0" w:color="auto"/>
              <w:right w:val="single" w:sz="4" w:space="0" w:color="auto"/>
            </w:tcBorders>
          </w:tcPr>
          <w:p w:rsidR="009733A1" w:rsidRPr="003D7288" w:rsidRDefault="009733A1" w:rsidP="00445EAD">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w:t>
            </w:r>
            <w:r w:rsidR="00445EAD">
              <w:rPr>
                <w:rFonts w:asciiTheme="majorBidi" w:hAnsiTheme="majorBidi" w:cstheme="majorBidi"/>
                <w:lang w:val="bg-BG"/>
              </w:rPr>
              <w:t>Търговска част</w:t>
            </w:r>
            <w:r w:rsidRPr="003D7288">
              <w:rPr>
                <w:rFonts w:asciiTheme="majorBidi" w:hAnsiTheme="majorBidi" w:cstheme="majorBidi"/>
                <w:lang w:val="bg-BG"/>
              </w:rPr>
              <w:t>)</w:t>
            </w:r>
            <w:r>
              <w:rPr>
                <w:rFonts w:asciiTheme="majorBidi" w:hAnsiTheme="majorBidi" w:cstheme="majorBidi"/>
                <w:lang w:val="bg-BG"/>
              </w:rPr>
              <w:t xml:space="preserve"> </w:t>
            </w:r>
            <w:r w:rsidRPr="003D7288">
              <w:rPr>
                <w:rFonts w:asciiTheme="majorBidi" w:hAnsiTheme="majorBidi" w:cstheme="majorBidi"/>
                <w:lang w:val="bg-BG"/>
              </w:rPr>
              <w:t>–</w:t>
            </w:r>
            <w:r>
              <w:rPr>
                <w:rFonts w:asciiTheme="majorBidi" w:hAnsiTheme="majorBidi" w:cstheme="majorBidi"/>
                <w:lang w:val="bg-BG"/>
              </w:rPr>
              <w:t xml:space="preserve"> </w:t>
            </w:r>
            <w:r w:rsidRPr="003D7288">
              <w:rPr>
                <w:rFonts w:asciiTheme="majorBidi" w:hAnsiTheme="majorBidi" w:cstheme="majorBidi"/>
                <w:lang w:val="bg-BG"/>
              </w:rPr>
              <w:t xml:space="preserve">не се </w:t>
            </w:r>
            <w:r>
              <w:rPr>
                <w:rFonts w:asciiTheme="majorBidi" w:hAnsiTheme="majorBidi" w:cstheme="majorBidi"/>
                <w:lang w:val="bg-BG"/>
              </w:rPr>
              <w:t>изисква</w:t>
            </w:r>
            <w:r w:rsidRPr="003D7288">
              <w:rPr>
                <w:rFonts w:asciiTheme="majorBidi" w:hAnsiTheme="majorBidi" w:cstheme="majorBidi"/>
                <w:b/>
                <w:lang w:val="bg-BG"/>
              </w:rPr>
              <w:t xml:space="preserve"> </w:t>
            </w:r>
            <w:r>
              <w:rPr>
                <w:rFonts w:asciiTheme="majorBidi" w:hAnsiTheme="majorBidi" w:cstheme="majorBidi"/>
                <w:lang w:val="bg-BG"/>
              </w:rPr>
              <w:t>за този тендер</w:t>
            </w:r>
          </w:p>
        </w:tc>
      </w:tr>
    </w:tbl>
    <w:p w:rsidR="00865004" w:rsidRPr="003D7288" w:rsidRDefault="00865004" w:rsidP="00D4680C">
      <w:pPr>
        <w:spacing w:before="120"/>
        <w:rPr>
          <w:rFonts w:asciiTheme="majorBidi" w:hAnsiTheme="majorBidi" w:cstheme="majorBidi"/>
          <w:sz w:val="20"/>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A23CA7">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77" w:rsidRDefault="00C00677" w:rsidP="00CF5625">
      <w:r>
        <w:separator/>
      </w:r>
    </w:p>
  </w:endnote>
  <w:endnote w:type="continuationSeparator" w:id="0">
    <w:p w:rsidR="00C00677" w:rsidRDefault="00C0067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C00677" w:rsidRPr="006456FF" w:rsidRDefault="00C00677" w:rsidP="006456FF">
        <w:pPr>
          <w:pStyle w:val="ad"/>
          <w:jc w:val="right"/>
          <w:rPr>
            <w:lang w:val="ru-RU"/>
          </w:rPr>
        </w:pPr>
        <w:r>
          <w:fldChar w:fldCharType="begin"/>
        </w:r>
        <w:r>
          <w:instrText xml:space="preserve"> PAGE   \* MERGEFORMAT </w:instrText>
        </w:r>
        <w:r>
          <w:fldChar w:fldCharType="separate"/>
        </w:r>
        <w:r w:rsidR="00E42D4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77" w:rsidRDefault="00C00677" w:rsidP="00CF5625">
      <w:r>
        <w:separator/>
      </w:r>
    </w:p>
  </w:footnote>
  <w:footnote w:type="continuationSeparator" w:id="0">
    <w:p w:rsidR="00C00677" w:rsidRDefault="00C00677"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77" w:rsidRDefault="00C006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8"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360CD"/>
    <w:multiLevelType w:val="hybridMultilevel"/>
    <w:tmpl w:val="A1FA7EB0"/>
    <w:lvl w:ilvl="0" w:tplc="DD26840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A61A7"/>
    <w:multiLevelType w:val="multilevel"/>
    <w:tmpl w:val="EAC8A48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
  </w:num>
  <w:num w:numId="4">
    <w:abstractNumId w:val="0"/>
  </w:num>
  <w:num w:numId="5">
    <w:abstractNumId w:val="14"/>
  </w:num>
  <w:num w:numId="6">
    <w:abstractNumId w:val="6"/>
  </w:num>
  <w:num w:numId="7">
    <w:abstractNumId w:val="8"/>
  </w:num>
  <w:num w:numId="8">
    <w:abstractNumId w:val="4"/>
  </w:num>
  <w:num w:numId="9">
    <w:abstractNumId w:val="12"/>
  </w:num>
  <w:num w:numId="10">
    <w:abstractNumId w:val="10"/>
  </w:num>
  <w:num w:numId="11">
    <w:abstractNumId w:val="5"/>
  </w:num>
  <w:num w:numId="12">
    <w:abstractNumId w:val="13"/>
  </w:num>
  <w:num w:numId="13">
    <w:abstractNumId w:val="3"/>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20658"/>
    <w:rsid w:val="00020BDD"/>
    <w:rsid w:val="00021C7A"/>
    <w:rsid w:val="00023365"/>
    <w:rsid w:val="000241D1"/>
    <w:rsid w:val="000259B9"/>
    <w:rsid w:val="00033044"/>
    <w:rsid w:val="00034803"/>
    <w:rsid w:val="00034B7D"/>
    <w:rsid w:val="00035BF8"/>
    <w:rsid w:val="00036239"/>
    <w:rsid w:val="00040C14"/>
    <w:rsid w:val="00055400"/>
    <w:rsid w:val="000565BC"/>
    <w:rsid w:val="000627F3"/>
    <w:rsid w:val="00067826"/>
    <w:rsid w:val="00086792"/>
    <w:rsid w:val="00092A68"/>
    <w:rsid w:val="00095D9B"/>
    <w:rsid w:val="000A312D"/>
    <w:rsid w:val="000A37E1"/>
    <w:rsid w:val="000A4073"/>
    <w:rsid w:val="000A6C44"/>
    <w:rsid w:val="000B6DE7"/>
    <w:rsid w:val="000E1999"/>
    <w:rsid w:val="000E664A"/>
    <w:rsid w:val="00105767"/>
    <w:rsid w:val="0010663F"/>
    <w:rsid w:val="001102E9"/>
    <w:rsid w:val="00110EA0"/>
    <w:rsid w:val="00111203"/>
    <w:rsid w:val="00111AEF"/>
    <w:rsid w:val="001241D6"/>
    <w:rsid w:val="00125819"/>
    <w:rsid w:val="00130AEA"/>
    <w:rsid w:val="00133F5B"/>
    <w:rsid w:val="001347B1"/>
    <w:rsid w:val="001406A1"/>
    <w:rsid w:val="001419D4"/>
    <w:rsid w:val="00141A3C"/>
    <w:rsid w:val="00143763"/>
    <w:rsid w:val="00144D5A"/>
    <w:rsid w:val="0015200C"/>
    <w:rsid w:val="0016015E"/>
    <w:rsid w:val="0016154A"/>
    <w:rsid w:val="00161CDF"/>
    <w:rsid w:val="00175DB1"/>
    <w:rsid w:val="0018079E"/>
    <w:rsid w:val="001866E2"/>
    <w:rsid w:val="00192148"/>
    <w:rsid w:val="001964F6"/>
    <w:rsid w:val="001A36E9"/>
    <w:rsid w:val="001B45A1"/>
    <w:rsid w:val="001B5051"/>
    <w:rsid w:val="001C2F9C"/>
    <w:rsid w:val="001D0C52"/>
    <w:rsid w:val="001D2EB6"/>
    <w:rsid w:val="001E0561"/>
    <w:rsid w:val="001F177F"/>
    <w:rsid w:val="001F270C"/>
    <w:rsid w:val="00200CE0"/>
    <w:rsid w:val="00211D3B"/>
    <w:rsid w:val="00212F12"/>
    <w:rsid w:val="002148AE"/>
    <w:rsid w:val="00225F05"/>
    <w:rsid w:val="00227431"/>
    <w:rsid w:val="00231589"/>
    <w:rsid w:val="0024039A"/>
    <w:rsid w:val="002434FE"/>
    <w:rsid w:val="002527DF"/>
    <w:rsid w:val="0025633F"/>
    <w:rsid w:val="00256F5C"/>
    <w:rsid w:val="00265F39"/>
    <w:rsid w:val="0027017A"/>
    <w:rsid w:val="002712F9"/>
    <w:rsid w:val="002738B8"/>
    <w:rsid w:val="00280D68"/>
    <w:rsid w:val="00284E70"/>
    <w:rsid w:val="00290538"/>
    <w:rsid w:val="00291A55"/>
    <w:rsid w:val="00296620"/>
    <w:rsid w:val="002B42E0"/>
    <w:rsid w:val="002C7C82"/>
    <w:rsid w:val="002D105B"/>
    <w:rsid w:val="002D50A5"/>
    <w:rsid w:val="002E145B"/>
    <w:rsid w:val="002F0B44"/>
    <w:rsid w:val="002F1774"/>
    <w:rsid w:val="002F1B2F"/>
    <w:rsid w:val="002F3843"/>
    <w:rsid w:val="002F5126"/>
    <w:rsid w:val="002F5C28"/>
    <w:rsid w:val="002F666F"/>
    <w:rsid w:val="002F6B13"/>
    <w:rsid w:val="002F79A7"/>
    <w:rsid w:val="00303A68"/>
    <w:rsid w:val="00307E84"/>
    <w:rsid w:val="003129AC"/>
    <w:rsid w:val="00332B90"/>
    <w:rsid w:val="00333797"/>
    <w:rsid w:val="0033502F"/>
    <w:rsid w:val="0033772C"/>
    <w:rsid w:val="0034558B"/>
    <w:rsid w:val="0036253A"/>
    <w:rsid w:val="0036368A"/>
    <w:rsid w:val="00363738"/>
    <w:rsid w:val="0036548C"/>
    <w:rsid w:val="00365700"/>
    <w:rsid w:val="00366FEE"/>
    <w:rsid w:val="003725C2"/>
    <w:rsid w:val="00376E6A"/>
    <w:rsid w:val="003847A3"/>
    <w:rsid w:val="00385CAB"/>
    <w:rsid w:val="00390929"/>
    <w:rsid w:val="00391389"/>
    <w:rsid w:val="003932E4"/>
    <w:rsid w:val="003939DF"/>
    <w:rsid w:val="003942DC"/>
    <w:rsid w:val="00397075"/>
    <w:rsid w:val="003A0E37"/>
    <w:rsid w:val="003A4221"/>
    <w:rsid w:val="003A6AEA"/>
    <w:rsid w:val="003B3808"/>
    <w:rsid w:val="003B4604"/>
    <w:rsid w:val="003C0F04"/>
    <w:rsid w:val="003C7BAA"/>
    <w:rsid w:val="003D2782"/>
    <w:rsid w:val="003D53BE"/>
    <w:rsid w:val="003D7288"/>
    <w:rsid w:val="003E01EC"/>
    <w:rsid w:val="003E1FB4"/>
    <w:rsid w:val="003E4487"/>
    <w:rsid w:val="003F0D93"/>
    <w:rsid w:val="003F151D"/>
    <w:rsid w:val="003F185E"/>
    <w:rsid w:val="003F1ACA"/>
    <w:rsid w:val="003F479A"/>
    <w:rsid w:val="00412392"/>
    <w:rsid w:val="00423664"/>
    <w:rsid w:val="00445EAD"/>
    <w:rsid w:val="00446E67"/>
    <w:rsid w:val="00454172"/>
    <w:rsid w:val="00455C95"/>
    <w:rsid w:val="00470039"/>
    <w:rsid w:val="00470B2D"/>
    <w:rsid w:val="00473B5A"/>
    <w:rsid w:val="004747CC"/>
    <w:rsid w:val="00476E81"/>
    <w:rsid w:val="0047727D"/>
    <w:rsid w:val="00480B74"/>
    <w:rsid w:val="0048547B"/>
    <w:rsid w:val="00485554"/>
    <w:rsid w:val="00485753"/>
    <w:rsid w:val="00492852"/>
    <w:rsid w:val="004A0A26"/>
    <w:rsid w:val="004A125A"/>
    <w:rsid w:val="004A2152"/>
    <w:rsid w:val="004A3CC2"/>
    <w:rsid w:val="004A69CD"/>
    <w:rsid w:val="004A6B2A"/>
    <w:rsid w:val="004B2729"/>
    <w:rsid w:val="004B5528"/>
    <w:rsid w:val="004C7560"/>
    <w:rsid w:val="004D3FB6"/>
    <w:rsid w:val="004E3C9A"/>
    <w:rsid w:val="004E3D7B"/>
    <w:rsid w:val="005059B0"/>
    <w:rsid w:val="00514422"/>
    <w:rsid w:val="00517765"/>
    <w:rsid w:val="00521B0F"/>
    <w:rsid w:val="00521B24"/>
    <w:rsid w:val="005269B1"/>
    <w:rsid w:val="00530CA6"/>
    <w:rsid w:val="00532EB5"/>
    <w:rsid w:val="00534CF4"/>
    <w:rsid w:val="0053500B"/>
    <w:rsid w:val="005470A8"/>
    <w:rsid w:val="005542B1"/>
    <w:rsid w:val="00574EDD"/>
    <w:rsid w:val="00584CB7"/>
    <w:rsid w:val="00586891"/>
    <w:rsid w:val="00587351"/>
    <w:rsid w:val="00592A8F"/>
    <w:rsid w:val="00594A98"/>
    <w:rsid w:val="00596C3E"/>
    <w:rsid w:val="005A334D"/>
    <w:rsid w:val="005A50EA"/>
    <w:rsid w:val="005B12C7"/>
    <w:rsid w:val="005B3DB1"/>
    <w:rsid w:val="005B4302"/>
    <w:rsid w:val="005B773D"/>
    <w:rsid w:val="005C5160"/>
    <w:rsid w:val="005C62EB"/>
    <w:rsid w:val="005D15FD"/>
    <w:rsid w:val="005E0170"/>
    <w:rsid w:val="005E59D3"/>
    <w:rsid w:val="005F24AA"/>
    <w:rsid w:val="00600E57"/>
    <w:rsid w:val="006111EB"/>
    <w:rsid w:val="006206E8"/>
    <w:rsid w:val="00623136"/>
    <w:rsid w:val="006268C7"/>
    <w:rsid w:val="006317C1"/>
    <w:rsid w:val="00644011"/>
    <w:rsid w:val="006456FF"/>
    <w:rsid w:val="00657931"/>
    <w:rsid w:val="00660A81"/>
    <w:rsid w:val="006706D6"/>
    <w:rsid w:val="00673495"/>
    <w:rsid w:val="0067463C"/>
    <w:rsid w:val="00676F9F"/>
    <w:rsid w:val="00682159"/>
    <w:rsid w:val="00683096"/>
    <w:rsid w:val="006863FD"/>
    <w:rsid w:val="00693212"/>
    <w:rsid w:val="006A71BC"/>
    <w:rsid w:val="006B5A56"/>
    <w:rsid w:val="006B6412"/>
    <w:rsid w:val="006B6556"/>
    <w:rsid w:val="006C4964"/>
    <w:rsid w:val="006C5351"/>
    <w:rsid w:val="006D1179"/>
    <w:rsid w:val="006D22F1"/>
    <w:rsid w:val="006D3F58"/>
    <w:rsid w:val="006E01DD"/>
    <w:rsid w:val="0070367A"/>
    <w:rsid w:val="00703EDF"/>
    <w:rsid w:val="00710A30"/>
    <w:rsid w:val="007127BC"/>
    <w:rsid w:val="00717195"/>
    <w:rsid w:val="00720E0A"/>
    <w:rsid w:val="007265D1"/>
    <w:rsid w:val="007402EA"/>
    <w:rsid w:val="007423E3"/>
    <w:rsid w:val="00743B2F"/>
    <w:rsid w:val="00753A3E"/>
    <w:rsid w:val="007555A0"/>
    <w:rsid w:val="00765216"/>
    <w:rsid w:val="00772FD5"/>
    <w:rsid w:val="007920C0"/>
    <w:rsid w:val="00792259"/>
    <w:rsid w:val="007A0682"/>
    <w:rsid w:val="007A2731"/>
    <w:rsid w:val="007A3572"/>
    <w:rsid w:val="007B3A81"/>
    <w:rsid w:val="007B4EDE"/>
    <w:rsid w:val="007B6709"/>
    <w:rsid w:val="007B6E0E"/>
    <w:rsid w:val="007B6FEA"/>
    <w:rsid w:val="007C30BC"/>
    <w:rsid w:val="007C4502"/>
    <w:rsid w:val="007C50F1"/>
    <w:rsid w:val="007C57B5"/>
    <w:rsid w:val="007D06FC"/>
    <w:rsid w:val="007D3050"/>
    <w:rsid w:val="007E0C0A"/>
    <w:rsid w:val="007E1303"/>
    <w:rsid w:val="007E2FA0"/>
    <w:rsid w:val="007E4BEF"/>
    <w:rsid w:val="00820466"/>
    <w:rsid w:val="00820F4F"/>
    <w:rsid w:val="008217CD"/>
    <w:rsid w:val="00825F10"/>
    <w:rsid w:val="00831D84"/>
    <w:rsid w:val="00835F05"/>
    <w:rsid w:val="00841452"/>
    <w:rsid w:val="008416DE"/>
    <w:rsid w:val="00860E03"/>
    <w:rsid w:val="0086322C"/>
    <w:rsid w:val="00865004"/>
    <w:rsid w:val="00873248"/>
    <w:rsid w:val="008814F5"/>
    <w:rsid w:val="008B5CC8"/>
    <w:rsid w:val="008C1BEC"/>
    <w:rsid w:val="008C632A"/>
    <w:rsid w:val="008D0F04"/>
    <w:rsid w:val="008D1B1B"/>
    <w:rsid w:val="008D74F5"/>
    <w:rsid w:val="008E2D6B"/>
    <w:rsid w:val="008E43F7"/>
    <w:rsid w:val="009067B8"/>
    <w:rsid w:val="00910CF7"/>
    <w:rsid w:val="00912310"/>
    <w:rsid w:val="009165E3"/>
    <w:rsid w:val="00926497"/>
    <w:rsid w:val="00934773"/>
    <w:rsid w:val="009422D3"/>
    <w:rsid w:val="00942F88"/>
    <w:rsid w:val="00943C85"/>
    <w:rsid w:val="00950F35"/>
    <w:rsid w:val="00952059"/>
    <w:rsid w:val="0096233A"/>
    <w:rsid w:val="00962CF5"/>
    <w:rsid w:val="00965E21"/>
    <w:rsid w:val="009733A1"/>
    <w:rsid w:val="00977C3F"/>
    <w:rsid w:val="00986C09"/>
    <w:rsid w:val="009B363A"/>
    <w:rsid w:val="009C324F"/>
    <w:rsid w:val="009D2C55"/>
    <w:rsid w:val="009D308B"/>
    <w:rsid w:val="009E2ABB"/>
    <w:rsid w:val="009E691F"/>
    <w:rsid w:val="009F2B5E"/>
    <w:rsid w:val="00A0383A"/>
    <w:rsid w:val="00A23CA7"/>
    <w:rsid w:val="00A27428"/>
    <w:rsid w:val="00A348A6"/>
    <w:rsid w:val="00A35462"/>
    <w:rsid w:val="00A46156"/>
    <w:rsid w:val="00A5729C"/>
    <w:rsid w:val="00A643BF"/>
    <w:rsid w:val="00A71953"/>
    <w:rsid w:val="00A803D3"/>
    <w:rsid w:val="00A81C87"/>
    <w:rsid w:val="00A9703F"/>
    <w:rsid w:val="00A97934"/>
    <w:rsid w:val="00AC26CE"/>
    <w:rsid w:val="00AC64A4"/>
    <w:rsid w:val="00AD1C91"/>
    <w:rsid w:val="00AD6507"/>
    <w:rsid w:val="00AE1DF0"/>
    <w:rsid w:val="00AF20AB"/>
    <w:rsid w:val="00B028E6"/>
    <w:rsid w:val="00B038A8"/>
    <w:rsid w:val="00B05F2E"/>
    <w:rsid w:val="00B0677A"/>
    <w:rsid w:val="00B14F3F"/>
    <w:rsid w:val="00B23B86"/>
    <w:rsid w:val="00B32825"/>
    <w:rsid w:val="00B34E88"/>
    <w:rsid w:val="00B37F65"/>
    <w:rsid w:val="00B56F2A"/>
    <w:rsid w:val="00B57C36"/>
    <w:rsid w:val="00B76929"/>
    <w:rsid w:val="00B7736A"/>
    <w:rsid w:val="00B779CB"/>
    <w:rsid w:val="00B84C3E"/>
    <w:rsid w:val="00B9641B"/>
    <w:rsid w:val="00BA2592"/>
    <w:rsid w:val="00BA3E10"/>
    <w:rsid w:val="00BA5833"/>
    <w:rsid w:val="00BB6AB5"/>
    <w:rsid w:val="00BC1C56"/>
    <w:rsid w:val="00BC603C"/>
    <w:rsid w:val="00BC6249"/>
    <w:rsid w:val="00BD154C"/>
    <w:rsid w:val="00BE0837"/>
    <w:rsid w:val="00BE1F52"/>
    <w:rsid w:val="00BF3749"/>
    <w:rsid w:val="00BF6EBF"/>
    <w:rsid w:val="00C00677"/>
    <w:rsid w:val="00C21A8B"/>
    <w:rsid w:val="00C24C1F"/>
    <w:rsid w:val="00C2632E"/>
    <w:rsid w:val="00C31B27"/>
    <w:rsid w:val="00C32373"/>
    <w:rsid w:val="00C32B60"/>
    <w:rsid w:val="00C33E36"/>
    <w:rsid w:val="00C35CEA"/>
    <w:rsid w:val="00C36136"/>
    <w:rsid w:val="00C37C8A"/>
    <w:rsid w:val="00C475D8"/>
    <w:rsid w:val="00C520E7"/>
    <w:rsid w:val="00C714F5"/>
    <w:rsid w:val="00C72547"/>
    <w:rsid w:val="00C83AD7"/>
    <w:rsid w:val="00C91E35"/>
    <w:rsid w:val="00C95BCC"/>
    <w:rsid w:val="00CA201F"/>
    <w:rsid w:val="00CA7926"/>
    <w:rsid w:val="00CB2461"/>
    <w:rsid w:val="00CB2C7F"/>
    <w:rsid w:val="00CB6A10"/>
    <w:rsid w:val="00CB6BD1"/>
    <w:rsid w:val="00CB73D5"/>
    <w:rsid w:val="00CD637E"/>
    <w:rsid w:val="00CE0ABD"/>
    <w:rsid w:val="00CE3B1C"/>
    <w:rsid w:val="00CF0588"/>
    <w:rsid w:val="00CF4670"/>
    <w:rsid w:val="00CF5625"/>
    <w:rsid w:val="00D202A2"/>
    <w:rsid w:val="00D2508D"/>
    <w:rsid w:val="00D26CE1"/>
    <w:rsid w:val="00D3003B"/>
    <w:rsid w:val="00D3111A"/>
    <w:rsid w:val="00D3246D"/>
    <w:rsid w:val="00D359B9"/>
    <w:rsid w:val="00D427F3"/>
    <w:rsid w:val="00D4680C"/>
    <w:rsid w:val="00D5066E"/>
    <w:rsid w:val="00D50F7B"/>
    <w:rsid w:val="00D54C62"/>
    <w:rsid w:val="00D550D8"/>
    <w:rsid w:val="00D60D4D"/>
    <w:rsid w:val="00D63391"/>
    <w:rsid w:val="00D64E2D"/>
    <w:rsid w:val="00D67932"/>
    <w:rsid w:val="00D74E51"/>
    <w:rsid w:val="00D776F4"/>
    <w:rsid w:val="00D8369C"/>
    <w:rsid w:val="00D97809"/>
    <w:rsid w:val="00DA3E76"/>
    <w:rsid w:val="00DA6675"/>
    <w:rsid w:val="00DC190E"/>
    <w:rsid w:val="00DC2BFA"/>
    <w:rsid w:val="00DD5C7F"/>
    <w:rsid w:val="00DD7127"/>
    <w:rsid w:val="00DE3CDC"/>
    <w:rsid w:val="00DF0220"/>
    <w:rsid w:val="00DF6A03"/>
    <w:rsid w:val="00DF70CA"/>
    <w:rsid w:val="00DF7C07"/>
    <w:rsid w:val="00E003C7"/>
    <w:rsid w:val="00E0117F"/>
    <w:rsid w:val="00E1047D"/>
    <w:rsid w:val="00E11469"/>
    <w:rsid w:val="00E14748"/>
    <w:rsid w:val="00E21E8A"/>
    <w:rsid w:val="00E24E26"/>
    <w:rsid w:val="00E26759"/>
    <w:rsid w:val="00E2796E"/>
    <w:rsid w:val="00E32574"/>
    <w:rsid w:val="00E4197E"/>
    <w:rsid w:val="00E42D4C"/>
    <w:rsid w:val="00E465C2"/>
    <w:rsid w:val="00E60220"/>
    <w:rsid w:val="00E70BD2"/>
    <w:rsid w:val="00E7523D"/>
    <w:rsid w:val="00E80C2E"/>
    <w:rsid w:val="00E82530"/>
    <w:rsid w:val="00E85AC6"/>
    <w:rsid w:val="00E9098E"/>
    <w:rsid w:val="00E9583C"/>
    <w:rsid w:val="00EA2EF9"/>
    <w:rsid w:val="00EA4A2C"/>
    <w:rsid w:val="00EB6EDF"/>
    <w:rsid w:val="00ED0FA6"/>
    <w:rsid w:val="00ED4B15"/>
    <w:rsid w:val="00ED652D"/>
    <w:rsid w:val="00EE0D6B"/>
    <w:rsid w:val="00EE213E"/>
    <w:rsid w:val="00EE3E32"/>
    <w:rsid w:val="00EE634A"/>
    <w:rsid w:val="00EE7AD3"/>
    <w:rsid w:val="00EF3249"/>
    <w:rsid w:val="00F01186"/>
    <w:rsid w:val="00F0679E"/>
    <w:rsid w:val="00F110EC"/>
    <w:rsid w:val="00F13670"/>
    <w:rsid w:val="00F238BF"/>
    <w:rsid w:val="00F2449D"/>
    <w:rsid w:val="00F27F6E"/>
    <w:rsid w:val="00F314C5"/>
    <w:rsid w:val="00F3399A"/>
    <w:rsid w:val="00F33B50"/>
    <w:rsid w:val="00F36D62"/>
    <w:rsid w:val="00F57F92"/>
    <w:rsid w:val="00F62360"/>
    <w:rsid w:val="00F66E66"/>
    <w:rsid w:val="00F7051E"/>
    <w:rsid w:val="00F73250"/>
    <w:rsid w:val="00F75D2E"/>
    <w:rsid w:val="00F76ABC"/>
    <w:rsid w:val="00F810E1"/>
    <w:rsid w:val="00F84B4B"/>
    <w:rsid w:val="00F84D33"/>
    <w:rsid w:val="00F9402C"/>
    <w:rsid w:val="00FA6192"/>
    <w:rsid w:val="00FA6764"/>
    <w:rsid w:val="00FB284D"/>
    <w:rsid w:val="00FB2D3F"/>
    <w:rsid w:val="00FB357F"/>
    <w:rsid w:val="00FB3B5B"/>
    <w:rsid w:val="00FB466F"/>
    <w:rsid w:val="00FC693B"/>
    <w:rsid w:val="00FD245E"/>
    <w:rsid w:val="00FD6CFD"/>
    <w:rsid w:val="00FE0BD9"/>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9BF6"/>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FB45-3365-413B-AA5E-BACF9B1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Pages>
  <Words>1097</Words>
  <Characters>6258</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Асен Атанасов Ньотев</cp:lastModifiedBy>
  <cp:revision>135</cp:revision>
  <cp:lastPrinted>2017-08-03T12:15:00Z</cp:lastPrinted>
  <dcterms:created xsi:type="dcterms:W3CDTF">2019-06-07T07:05:00Z</dcterms:created>
  <dcterms:modified xsi:type="dcterms:W3CDTF">2022-08-04T06:41:00Z</dcterms:modified>
</cp:coreProperties>
</file>