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04" w:rsidRPr="006859A4" w:rsidRDefault="00790904" w:rsidP="00790904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bookmarkStart w:id="0" w:name="_Toc447632538"/>
      <w:r w:rsidRPr="006859A4">
        <w:rPr>
          <w:rFonts w:asciiTheme="majorBidi" w:hAnsiTheme="majorBidi" w:cstheme="majorBidi"/>
          <w:b/>
          <w:szCs w:val="24"/>
          <w:lang w:val="en-GB" w:eastAsia="ru-RU"/>
        </w:rPr>
        <w:t>Attachment №</w:t>
      </w:r>
      <w:bookmarkEnd w:id="0"/>
      <w:r w:rsidRPr="006859A4">
        <w:rPr>
          <w:rFonts w:asciiTheme="majorBidi" w:hAnsiTheme="majorBidi" w:cstheme="majorBidi"/>
          <w:b/>
          <w:szCs w:val="24"/>
          <w:lang w:val="en-GB" w:eastAsia="ru-RU"/>
        </w:rPr>
        <w:t>1</w:t>
      </w:r>
    </w:p>
    <w:p w:rsidR="00D4680C" w:rsidRPr="006859A4" w:rsidRDefault="00790904" w:rsidP="00790904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r w:rsidRPr="006859A4">
        <w:rPr>
          <w:rFonts w:asciiTheme="majorBidi" w:hAnsiTheme="majorBidi" w:cstheme="majorBidi"/>
          <w:bCs/>
          <w:szCs w:val="24"/>
          <w:lang w:val="en-GB" w:eastAsia="ru-RU"/>
        </w:rPr>
        <w:t>To Instructions to the Bidder</w:t>
      </w:r>
    </w:p>
    <w:p w:rsidR="009067B8" w:rsidRPr="006859A4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en-GB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6859A4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Default="00790904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Information about the Tender</w:t>
            </w:r>
            <w:r w:rsidR="00E70BD2" w:rsidRPr="006859A4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  <w:p w:rsidR="000C2C04" w:rsidRPr="006859A4" w:rsidRDefault="000C2C04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  <w:tr w:rsidR="002F6B13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6859A4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I. </w:t>
            </w:r>
            <w:r w:rsidR="00790904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General information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790904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4" w:rsidRPr="006859A4" w:rsidRDefault="00790904" w:rsidP="00790904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04" w:rsidRPr="006859A4" w:rsidRDefault="00790904" w:rsidP="00790904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LUKOIL </w:t>
            </w:r>
            <w:proofErr w:type="spellStart"/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Neftohim</w:t>
            </w:r>
            <w:proofErr w:type="spellEnd"/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proofErr w:type="spellStart"/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Burgas</w:t>
            </w:r>
            <w:proofErr w:type="spellEnd"/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AD</w:t>
            </w:r>
          </w:p>
        </w:tc>
      </w:tr>
      <w:tr w:rsidR="006D1179" w:rsidRPr="006859A4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3" w:rsidRPr="000F24C5" w:rsidRDefault="00790904" w:rsidP="000F24C5">
            <w:pPr>
              <w:tabs>
                <w:tab w:val="right" w:pos="7272"/>
              </w:tabs>
              <w:jc w:val="left"/>
              <w:rPr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>The production site of</w:t>
            </w:r>
            <w:r w:rsidR="00EF0125" w:rsidRPr="006859A4">
              <w:rPr>
                <w:szCs w:val="24"/>
                <w:lang w:val="en-GB"/>
              </w:rPr>
              <w:t xml:space="preserve"> </w:t>
            </w:r>
            <w:r w:rsidRPr="006859A4">
              <w:rPr>
                <w:szCs w:val="24"/>
                <w:lang w:val="en-GB"/>
              </w:rPr>
              <w:t xml:space="preserve">LUKOIL </w:t>
            </w:r>
            <w:proofErr w:type="spellStart"/>
            <w:r w:rsidRPr="006859A4">
              <w:rPr>
                <w:szCs w:val="24"/>
                <w:lang w:val="en-GB"/>
              </w:rPr>
              <w:t>Neftohim</w:t>
            </w:r>
            <w:proofErr w:type="spellEnd"/>
            <w:r w:rsidRPr="006859A4">
              <w:rPr>
                <w:szCs w:val="24"/>
                <w:lang w:val="en-GB"/>
              </w:rPr>
              <w:t xml:space="preserve"> </w:t>
            </w:r>
            <w:proofErr w:type="spellStart"/>
            <w:r w:rsidRPr="006859A4">
              <w:rPr>
                <w:szCs w:val="24"/>
                <w:lang w:val="en-GB"/>
              </w:rPr>
              <w:t>Burgas</w:t>
            </w:r>
            <w:proofErr w:type="spellEnd"/>
            <w:r w:rsidRPr="006859A4">
              <w:rPr>
                <w:szCs w:val="24"/>
                <w:lang w:val="en-GB"/>
              </w:rPr>
              <w:t xml:space="preserve"> AD</w:t>
            </w:r>
            <w:r w:rsidR="00EF0125" w:rsidRPr="006859A4">
              <w:rPr>
                <w:szCs w:val="24"/>
                <w:lang w:val="en-GB"/>
              </w:rPr>
              <w:t>:</w:t>
            </w:r>
          </w:p>
        </w:tc>
      </w:tr>
      <w:tr w:rsidR="006D1179" w:rsidRPr="006859A4" w:rsidTr="00C32CB9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Number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6859A4" w:rsidRDefault="00790904" w:rsidP="008918CD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en-GB"/>
              </w:rPr>
            </w:pPr>
            <w:r w:rsidRPr="006859A4">
              <w:rPr>
                <w:szCs w:val="24"/>
                <w:lang w:val="en-GB"/>
              </w:rPr>
              <w:t xml:space="preserve">Tender № </w:t>
            </w:r>
            <w:r w:rsidR="008918CD">
              <w:rPr>
                <w:rFonts w:asciiTheme="majorBidi" w:hAnsiTheme="majorBidi" w:cstheme="majorBidi"/>
                <w:b/>
                <w:szCs w:val="24"/>
              </w:rPr>
              <w:t>160017</w:t>
            </w:r>
          </w:p>
        </w:tc>
      </w:tr>
      <w:tr w:rsidR="006D7B03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D7B03" w:rsidP="006D7B03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Subject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63" w:rsidRDefault="008918CD" w:rsidP="008918CD">
            <w:pPr>
              <w:rPr>
                <w:szCs w:val="24"/>
                <w:lang w:val="en-GB"/>
              </w:rPr>
            </w:pPr>
            <w:r w:rsidRPr="008918CD">
              <w:rPr>
                <w:szCs w:val="24"/>
                <w:lang w:val="en-GB"/>
              </w:rPr>
              <w:t>Delive</w:t>
            </w:r>
            <w:r>
              <w:rPr>
                <w:szCs w:val="24"/>
                <w:lang w:val="en-GB"/>
              </w:rPr>
              <w:t>ry of 3 pcs of compensators</w:t>
            </w:r>
            <w:r w:rsidRPr="008918CD">
              <w:rPr>
                <w:szCs w:val="24"/>
                <w:lang w:val="en-GB"/>
              </w:rPr>
              <w:t xml:space="preserve"> </w:t>
            </w:r>
            <w:r>
              <w:rPr>
                <w:szCs w:val="24"/>
                <w:lang w:val="en-GB"/>
              </w:rPr>
              <w:t>a</w:t>
            </w:r>
            <w:r w:rsidRPr="008918CD">
              <w:rPr>
                <w:szCs w:val="24"/>
                <w:lang w:val="en-GB"/>
              </w:rPr>
              <w:t>nd of 1 pcs silen</w:t>
            </w:r>
            <w:r>
              <w:rPr>
                <w:szCs w:val="24"/>
                <w:lang w:val="en-GB"/>
              </w:rPr>
              <w:t xml:space="preserve">cer for compressor K-7002 </w:t>
            </w:r>
          </w:p>
          <w:p w:rsidR="005D6A7E" w:rsidRDefault="005D6A7E" w:rsidP="008918C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LOT 1 </w:t>
            </w:r>
            <w:r w:rsidRPr="008918CD">
              <w:rPr>
                <w:szCs w:val="24"/>
                <w:lang w:val="en-GB"/>
              </w:rPr>
              <w:t>Delive</w:t>
            </w:r>
            <w:r>
              <w:rPr>
                <w:szCs w:val="24"/>
                <w:lang w:val="en-GB"/>
              </w:rPr>
              <w:t>ry of 3 pcs of compensators</w:t>
            </w:r>
          </w:p>
          <w:p w:rsidR="005D6A7E" w:rsidRDefault="005D6A7E" w:rsidP="008918CD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LOT 2 </w:t>
            </w:r>
            <w:r w:rsidRPr="008918CD">
              <w:rPr>
                <w:szCs w:val="24"/>
                <w:lang w:val="en-GB"/>
              </w:rPr>
              <w:t>Delive</w:t>
            </w:r>
            <w:r>
              <w:rPr>
                <w:szCs w:val="24"/>
                <w:lang w:val="en-GB"/>
              </w:rPr>
              <w:t xml:space="preserve">ry of </w:t>
            </w:r>
            <w:r w:rsidRPr="008918CD">
              <w:rPr>
                <w:szCs w:val="24"/>
                <w:lang w:val="en-GB"/>
              </w:rPr>
              <w:t>1 pcs silen</w:t>
            </w:r>
            <w:r>
              <w:rPr>
                <w:szCs w:val="24"/>
                <w:lang w:val="en-GB"/>
              </w:rPr>
              <w:t xml:space="preserve">cer for compressor K-7002 </w:t>
            </w:r>
          </w:p>
          <w:p w:rsidR="006B0800" w:rsidRPr="00DE537F" w:rsidRDefault="006B0800" w:rsidP="006B0800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Each bidder shall prepare and present a tender bid on LOT</w:t>
            </w:r>
            <w:r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and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b/>
                <w:szCs w:val="24"/>
              </w:rPr>
              <w:t>LOT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individually.</w:t>
            </w:r>
          </w:p>
          <w:p w:rsidR="006B0800" w:rsidRPr="003C784D" w:rsidRDefault="006B0800" w:rsidP="006B0800">
            <w:pPr>
              <w:rPr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It is allowed to submit a proposal for each one </w:t>
            </w:r>
            <w:proofErr w:type="gramStart"/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lot  individually</w:t>
            </w:r>
            <w:proofErr w:type="gramEnd"/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6D7B03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D7B03" w:rsidP="006D7B03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03" w:rsidRPr="006859A4" w:rsidRDefault="006529BD" w:rsidP="006D7B0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en-GB"/>
              </w:rPr>
            </w:pPr>
            <w:proofErr w:type="spellStart"/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Оpen</w:t>
            </w:r>
            <w:proofErr w:type="spellEnd"/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, two-stage tender with conducting a bidding</w:t>
            </w:r>
          </w:p>
        </w:tc>
      </w:tr>
      <w:tr w:rsidR="00E9098E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II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12536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Minimum qualification requirements to the Bidder to </w:t>
            </w:r>
            <w:proofErr w:type="gramStart"/>
            <w:r w:rsidR="0012536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be allowed</w:t>
            </w:r>
            <w:proofErr w:type="gramEnd"/>
            <w:r w:rsidR="0012536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to participate in the tender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  <w:p w:rsidR="0070404C" w:rsidRDefault="0070404C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</w:p>
          <w:p w:rsidR="000C2C04" w:rsidRPr="00D254F7" w:rsidRDefault="0070404C" w:rsidP="00D254F7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For LOT 1</w:t>
            </w:r>
          </w:p>
        </w:tc>
      </w:tr>
      <w:tr w:rsidR="00584F5A" w:rsidRPr="006859A4" w:rsidTr="00022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Default="00584F5A" w:rsidP="00584F5A">
            <w:pPr>
              <w:pStyle w:val="a9"/>
              <w:tabs>
                <w:tab w:val="left" w:pos="460"/>
              </w:tabs>
              <w:spacing w:line="276" w:lineRule="auto"/>
              <w:ind w:left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>2.</w:t>
            </w:r>
            <w:r>
              <w:rPr>
                <w:rFonts w:asciiTheme="majorBidi" w:hAnsiTheme="majorBidi" w:cstheme="majorBidi"/>
                <w:lang w:val="bg-BG"/>
              </w:rPr>
              <w:t>1</w:t>
            </w:r>
            <w:r>
              <w:rPr>
                <w:lang w:val="bg-BG"/>
              </w:rPr>
              <w:t xml:space="preserve">. </w:t>
            </w:r>
            <w:r>
              <w:rPr>
                <w:lang w:val="en-US"/>
              </w:rPr>
              <w:t>Conformity with quality control requirements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lang w:val="bg-BG"/>
              </w:rPr>
              <w:t>(</w:t>
            </w:r>
            <w:r>
              <w:rPr>
                <w:rFonts w:asciiTheme="majorBidi" w:hAnsiTheme="majorBidi" w:cstheme="majorBidi"/>
                <w:lang w:val="bg-BG"/>
              </w:rPr>
              <w:t>ISO 9001)</w:t>
            </w:r>
            <w:r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Default="00584F5A" w:rsidP="00584F5A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A valid certificate </w:t>
            </w:r>
            <w:proofErr w:type="gramStart"/>
            <w:r>
              <w:rPr>
                <w:rFonts w:asciiTheme="majorBidi" w:hAnsiTheme="majorBidi" w:cstheme="majorBidi"/>
              </w:rPr>
              <w:t>shall be provided</w:t>
            </w:r>
            <w:proofErr w:type="gramEnd"/>
            <w:r>
              <w:rPr>
                <w:rFonts w:asciiTheme="majorBidi" w:hAnsiTheme="majorBidi" w:cstheme="majorBidi"/>
              </w:rPr>
              <w:t xml:space="preserve"> for quality management system </w:t>
            </w:r>
            <w:r>
              <w:rPr>
                <w:noProof/>
              </w:rPr>
              <w:t>ISO 9001 of the manufacturer.</w:t>
            </w:r>
          </w:p>
        </w:tc>
      </w:tr>
      <w:tr w:rsidR="00584F5A" w:rsidRPr="006859A4" w:rsidTr="00022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Default="00584F5A" w:rsidP="00584F5A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2.2. </w:t>
            </w:r>
            <w:r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Pr="00584F5A" w:rsidRDefault="00584F5A" w:rsidP="00584F5A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Compliance of technical parameters of the technical inquiry</w:t>
            </w:r>
          </w:p>
        </w:tc>
      </w:tr>
      <w:tr w:rsidR="00584F5A" w:rsidRPr="006859A4" w:rsidTr="000226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Default="00584F5A" w:rsidP="00584F5A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2.3. Previous experience of Bidder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A" w:rsidRDefault="00584F5A" w:rsidP="001C46BD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Bidder shall submit information about at least 1 (one) completed contract, similar in its nature and complexity, for the manufacture or delivery of </w:t>
            </w:r>
            <w:r w:rsidR="00061E81">
              <w:rPr>
                <w:rFonts w:asciiTheme="majorBidi" w:hAnsiTheme="majorBidi" w:cstheme="majorBidi"/>
              </w:rPr>
              <w:t xml:space="preserve">the subject </w:t>
            </w:r>
            <w:r w:rsidR="001C46BD">
              <w:rPr>
                <w:rFonts w:asciiTheme="majorBidi" w:hAnsiTheme="majorBidi" w:cstheme="majorBidi"/>
              </w:rPr>
              <w:t>to</w:t>
            </w:r>
            <w:r w:rsidR="00061E81">
              <w:rPr>
                <w:rFonts w:asciiTheme="majorBidi" w:hAnsiTheme="majorBidi" w:cstheme="majorBidi"/>
              </w:rPr>
              <w:t xml:space="preserve"> the tender </w:t>
            </w:r>
            <w:r>
              <w:rPr>
                <w:rFonts w:asciiTheme="majorBidi" w:hAnsiTheme="majorBidi" w:cstheme="majorBidi"/>
              </w:rPr>
              <w:t> in the refining or chemical or polymer industry, signed for the last 5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</w:rPr>
              <w:t>(five) years.</w:t>
            </w:r>
          </w:p>
        </w:tc>
      </w:tr>
      <w:tr w:rsidR="00CC1338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125360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Criteria for compliance with the minimum requirements from section ІІ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:</w:t>
            </w:r>
          </w:p>
        </w:tc>
      </w:tr>
      <w:tr w:rsidR="00125360" w:rsidRPr="006859A4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The Bidder covers independently all the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60" w:rsidRPr="006859A4" w:rsidRDefault="00125360" w:rsidP="00125360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6E416C" w:rsidRPr="006859A4" w:rsidTr="00AC52A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C9" w:rsidRDefault="006E416C" w:rsidP="006E416C">
            <w:pPr>
              <w:rPr>
                <w:b/>
                <w:bCs/>
                <w:lang w:val="bg-BG"/>
              </w:rPr>
            </w:pPr>
            <w:proofErr w:type="spellStart"/>
            <w:r>
              <w:rPr>
                <w:b/>
                <w:bCs/>
                <w:lang w:val="bg-BG"/>
              </w:rPr>
              <w:t>Important</w:t>
            </w:r>
            <w:proofErr w:type="spellEnd"/>
            <w:r>
              <w:rPr>
                <w:b/>
                <w:bCs/>
                <w:lang w:val="bg-BG"/>
              </w:rPr>
              <w:t xml:space="preserve">: </w:t>
            </w:r>
            <w:proofErr w:type="spellStart"/>
            <w:r>
              <w:rPr>
                <w:b/>
                <w:bCs/>
                <w:lang w:val="bg-BG"/>
              </w:rPr>
              <w:t>Bidders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who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are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subcontractors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another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bidder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have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intention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establish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such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relations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in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the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course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of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service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performance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are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not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admitted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tender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procedure</w:t>
            </w:r>
            <w:proofErr w:type="spellEnd"/>
            <w:r>
              <w:rPr>
                <w:b/>
                <w:bCs/>
                <w:lang w:val="bg-BG"/>
              </w:rPr>
              <w:t>. </w:t>
            </w:r>
          </w:p>
          <w:p w:rsidR="006E416C" w:rsidRDefault="00C15CC9" w:rsidP="006E416C">
            <w:pPr>
              <w:rPr>
                <w:b/>
                <w:bCs/>
                <w:sz w:val="22"/>
                <w:lang w:val="bg-BG"/>
              </w:rPr>
            </w:pPr>
            <w:r w:rsidRPr="00C15CC9">
              <w:rPr>
                <w:b/>
                <w:bCs/>
                <w:lang w:val="bg-BG"/>
              </w:rPr>
              <w:t xml:space="preserve">A </w:t>
            </w:r>
            <w:proofErr w:type="spellStart"/>
            <w:r w:rsidRPr="00C15CC9">
              <w:rPr>
                <w:b/>
                <w:bCs/>
                <w:lang w:val="bg-BG"/>
              </w:rPr>
              <w:t>legal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entity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or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its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subcontractor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and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/ </w:t>
            </w:r>
            <w:proofErr w:type="spellStart"/>
            <w:r w:rsidRPr="00C15CC9">
              <w:rPr>
                <w:b/>
                <w:bCs/>
                <w:lang w:val="bg-BG"/>
              </w:rPr>
              <w:t>or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their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employees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,  </w:t>
            </w:r>
            <w:proofErr w:type="spellStart"/>
            <w:r w:rsidRPr="00C15CC9">
              <w:rPr>
                <w:b/>
                <w:bCs/>
                <w:lang w:val="bg-BG"/>
              </w:rPr>
              <w:t>participated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in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preparation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of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project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documentation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subject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to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tender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, </w:t>
            </w:r>
            <w:proofErr w:type="spellStart"/>
            <w:r w:rsidRPr="00C15CC9">
              <w:rPr>
                <w:b/>
                <w:bCs/>
                <w:lang w:val="bg-BG"/>
              </w:rPr>
              <w:t>will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not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be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allowed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to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participate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in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lang w:val="bg-BG"/>
              </w:rPr>
              <w:t>tender</w:t>
            </w:r>
            <w:proofErr w:type="spellEnd"/>
            <w:r w:rsidRPr="00C15CC9">
              <w:rPr>
                <w:b/>
                <w:bCs/>
                <w:lang w:val="bg-BG"/>
              </w:rPr>
              <w:t>.</w:t>
            </w:r>
          </w:p>
          <w:p w:rsidR="006E416C" w:rsidRPr="00731254" w:rsidRDefault="006E416C" w:rsidP="00731254">
            <w:pPr>
              <w:rPr>
                <w:lang w:val="bg-BG"/>
              </w:rPr>
            </w:pPr>
            <w:proofErr w:type="spellStart"/>
            <w:r>
              <w:rPr>
                <w:b/>
                <w:bCs/>
                <w:lang w:val="bg-BG"/>
              </w:rPr>
              <w:t>Above</w:t>
            </w:r>
            <w:proofErr w:type="spellEnd"/>
            <w:r>
              <w:rPr>
                <w:b/>
                <w:bCs/>
                <w:lang w:val="bg-BG"/>
              </w:rPr>
              <w:t xml:space="preserve"> –</w:t>
            </w:r>
            <w:proofErr w:type="spellStart"/>
            <w:r>
              <w:rPr>
                <w:b/>
                <w:bCs/>
                <w:lang w:val="bg-BG"/>
              </w:rPr>
              <w:t>mentioned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conditions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are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specified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at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the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offers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evaluation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stage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and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in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the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course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of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works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performance</w:t>
            </w:r>
            <w:proofErr w:type="spellEnd"/>
            <w:r>
              <w:rPr>
                <w:b/>
                <w:bCs/>
                <w:lang w:val="bg-BG"/>
              </w:rPr>
              <w:t>.</w:t>
            </w:r>
          </w:p>
        </w:tc>
      </w:tr>
      <w:tr w:rsidR="0070404C" w:rsidRPr="006859A4" w:rsidTr="00A3452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04" w:rsidRPr="00D254F7" w:rsidRDefault="0070404C" w:rsidP="00D254F7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 xml:space="preserve">For LOT </w:t>
            </w:r>
            <w:r w:rsidR="00E365F4">
              <w:rPr>
                <w:rFonts w:asciiTheme="majorBidi" w:hAnsiTheme="majorBidi" w:cstheme="majorBidi"/>
                <w:b/>
                <w:szCs w:val="24"/>
              </w:rPr>
              <w:t>2</w:t>
            </w:r>
            <w:bookmarkStart w:id="1" w:name="_GoBack"/>
            <w:bookmarkEnd w:id="1"/>
          </w:p>
        </w:tc>
      </w:tr>
      <w:tr w:rsidR="005376F7" w:rsidRPr="006859A4" w:rsidTr="00963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7" w:rsidRDefault="005376F7" w:rsidP="005376F7">
            <w:pPr>
              <w:pStyle w:val="a9"/>
              <w:tabs>
                <w:tab w:val="left" w:pos="460"/>
              </w:tabs>
              <w:spacing w:line="276" w:lineRule="auto"/>
              <w:ind w:left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>2.</w:t>
            </w:r>
            <w:r>
              <w:rPr>
                <w:rFonts w:asciiTheme="majorBidi" w:hAnsiTheme="majorBidi" w:cstheme="majorBidi"/>
                <w:lang w:val="bg-BG"/>
              </w:rPr>
              <w:t>1</w:t>
            </w:r>
            <w:r>
              <w:rPr>
                <w:lang w:val="bg-BG"/>
              </w:rPr>
              <w:t xml:space="preserve">. </w:t>
            </w:r>
            <w:r>
              <w:rPr>
                <w:lang w:val="en-US"/>
              </w:rPr>
              <w:t>Conformity with quality control requirements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lang w:val="bg-BG"/>
              </w:rPr>
              <w:t>(</w:t>
            </w:r>
            <w:r>
              <w:rPr>
                <w:rFonts w:asciiTheme="majorBidi" w:hAnsiTheme="majorBidi" w:cstheme="majorBidi"/>
                <w:lang w:val="bg-BG"/>
              </w:rPr>
              <w:t>ISO 9001)</w:t>
            </w:r>
            <w:r>
              <w:rPr>
                <w:rFonts w:asciiTheme="majorBidi" w:hAnsiTheme="majorBidi" w:cstheme="majorBidi"/>
                <w:lang w:val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7" w:rsidRDefault="005376F7" w:rsidP="005376F7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A valid certificate </w:t>
            </w:r>
            <w:proofErr w:type="gramStart"/>
            <w:r>
              <w:rPr>
                <w:rFonts w:asciiTheme="majorBidi" w:hAnsiTheme="majorBidi" w:cstheme="majorBidi"/>
              </w:rPr>
              <w:t>shall be provided</w:t>
            </w:r>
            <w:proofErr w:type="gramEnd"/>
            <w:r>
              <w:rPr>
                <w:rFonts w:asciiTheme="majorBidi" w:hAnsiTheme="majorBidi" w:cstheme="majorBidi"/>
              </w:rPr>
              <w:t xml:space="preserve"> for quality management system </w:t>
            </w:r>
            <w:r>
              <w:rPr>
                <w:noProof/>
              </w:rPr>
              <w:t>ISO 9001 of the manufacturer.</w:t>
            </w:r>
          </w:p>
        </w:tc>
      </w:tr>
      <w:tr w:rsidR="005376F7" w:rsidRPr="006859A4" w:rsidTr="00963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7" w:rsidRDefault="005376F7" w:rsidP="005376F7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lastRenderedPageBreak/>
              <w:t xml:space="preserve">2.2. </w:t>
            </w:r>
            <w:r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7" w:rsidRPr="00584F5A" w:rsidRDefault="005376F7" w:rsidP="005376F7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Compliance of technical parameters of the technical inquiry</w:t>
            </w:r>
          </w:p>
        </w:tc>
      </w:tr>
      <w:tr w:rsidR="005376F7" w:rsidRPr="006859A4" w:rsidTr="00963CD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7" w:rsidRDefault="005376F7" w:rsidP="005376F7">
            <w:pPr>
              <w:pStyle w:val="a9"/>
              <w:tabs>
                <w:tab w:val="left" w:pos="460"/>
              </w:tabs>
              <w:spacing w:line="276" w:lineRule="auto"/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2.3. Previous experience of Bidder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7" w:rsidRDefault="005376F7" w:rsidP="001C46BD">
            <w:pPr>
              <w:autoSpaceDE w:val="0"/>
              <w:autoSpaceDN w:val="0"/>
              <w:adjustRightInd w:val="0"/>
              <w:spacing w:before="60" w:line="276" w:lineRule="auto"/>
              <w:ind w:right="249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Bidder shall submit information about at least 1 (one) completed contract, similar in its nature and complexity, for</w:t>
            </w:r>
            <w:r w:rsidR="00061E81">
              <w:rPr>
                <w:rFonts w:asciiTheme="majorBidi" w:hAnsiTheme="majorBidi" w:cstheme="majorBidi"/>
              </w:rPr>
              <w:t xml:space="preserve"> the manufacture or delivery of the subject </w:t>
            </w:r>
            <w:r w:rsidR="001C46BD">
              <w:rPr>
                <w:rFonts w:asciiTheme="majorBidi" w:hAnsiTheme="majorBidi" w:cstheme="majorBidi"/>
              </w:rPr>
              <w:t>to</w:t>
            </w:r>
            <w:r w:rsidR="00061E81">
              <w:rPr>
                <w:rFonts w:asciiTheme="majorBidi" w:hAnsiTheme="majorBidi" w:cstheme="majorBidi"/>
              </w:rPr>
              <w:t xml:space="preserve"> the tender   </w:t>
            </w:r>
            <w:r>
              <w:rPr>
                <w:rFonts w:asciiTheme="majorBidi" w:hAnsiTheme="majorBidi" w:cstheme="majorBidi"/>
              </w:rPr>
              <w:t>in the refining or chemical or polymer industry, signed for the last 5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</w:rPr>
              <w:t>(five) years.</w:t>
            </w:r>
          </w:p>
        </w:tc>
      </w:tr>
      <w:tr w:rsidR="00E365F4" w:rsidRPr="006859A4" w:rsidTr="00E40A2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4" w:rsidRPr="006859A4" w:rsidRDefault="00E365F4" w:rsidP="00E40A27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Criteria for compliance with the minimum requirements from section ІІ:</w:t>
            </w:r>
          </w:p>
        </w:tc>
      </w:tr>
      <w:tr w:rsidR="00E365F4" w:rsidRPr="006859A4" w:rsidTr="00E40A2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4" w:rsidRPr="006859A4" w:rsidRDefault="00E365F4" w:rsidP="00E40A27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The Bidder covers independently all the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F4" w:rsidRPr="006859A4" w:rsidRDefault="00E365F4" w:rsidP="00E40A27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731254" w:rsidRPr="006859A4" w:rsidTr="003C166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54" w:rsidRDefault="00731254" w:rsidP="00731254">
            <w:pPr>
              <w:rPr>
                <w:b/>
                <w:bCs/>
                <w:lang w:val="bg-BG"/>
              </w:rPr>
            </w:pPr>
            <w:proofErr w:type="spellStart"/>
            <w:r>
              <w:rPr>
                <w:b/>
                <w:bCs/>
                <w:lang w:val="bg-BG"/>
              </w:rPr>
              <w:t>Important</w:t>
            </w:r>
            <w:proofErr w:type="spellEnd"/>
            <w:r>
              <w:rPr>
                <w:b/>
                <w:bCs/>
                <w:lang w:val="bg-BG"/>
              </w:rPr>
              <w:t xml:space="preserve">: </w:t>
            </w:r>
            <w:proofErr w:type="spellStart"/>
            <w:r>
              <w:rPr>
                <w:b/>
                <w:bCs/>
                <w:lang w:val="bg-BG"/>
              </w:rPr>
              <w:t>Bidders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who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are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subcontractors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another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bidder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have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intention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establish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such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relations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in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the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course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of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service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performance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are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not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admitted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to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tender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procedure</w:t>
            </w:r>
            <w:proofErr w:type="spellEnd"/>
            <w:r>
              <w:rPr>
                <w:b/>
                <w:bCs/>
                <w:lang w:val="bg-BG"/>
              </w:rPr>
              <w:t xml:space="preserve">.  </w:t>
            </w:r>
          </w:p>
          <w:p w:rsidR="00C15CC9" w:rsidRDefault="00C15CC9" w:rsidP="00731254">
            <w:pPr>
              <w:rPr>
                <w:b/>
                <w:bCs/>
                <w:sz w:val="22"/>
                <w:lang w:val="bg-BG"/>
              </w:rPr>
            </w:pPr>
            <w:r w:rsidRPr="00C15CC9">
              <w:rPr>
                <w:b/>
                <w:bCs/>
                <w:sz w:val="22"/>
                <w:lang w:val="bg-BG"/>
              </w:rPr>
              <w:t xml:space="preserve">A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legal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entity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or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its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subcontractor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and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/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or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their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employees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, 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participated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in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preparation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of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project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documentation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subject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to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tender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,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will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not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be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allowed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to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participate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in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the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 xml:space="preserve"> </w:t>
            </w:r>
            <w:proofErr w:type="spellStart"/>
            <w:r w:rsidRPr="00C15CC9">
              <w:rPr>
                <w:b/>
                <w:bCs/>
                <w:sz w:val="22"/>
                <w:lang w:val="bg-BG"/>
              </w:rPr>
              <w:t>tender</w:t>
            </w:r>
            <w:proofErr w:type="spellEnd"/>
            <w:r w:rsidRPr="00C15CC9">
              <w:rPr>
                <w:b/>
                <w:bCs/>
                <w:sz w:val="22"/>
                <w:lang w:val="bg-BG"/>
              </w:rPr>
              <w:t>.</w:t>
            </w:r>
          </w:p>
          <w:p w:rsidR="00731254" w:rsidRPr="006859A4" w:rsidRDefault="00731254" w:rsidP="00731254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proofErr w:type="spellStart"/>
            <w:r>
              <w:rPr>
                <w:b/>
                <w:bCs/>
                <w:lang w:val="bg-BG"/>
              </w:rPr>
              <w:t>Above</w:t>
            </w:r>
            <w:proofErr w:type="spellEnd"/>
            <w:r>
              <w:rPr>
                <w:b/>
                <w:bCs/>
                <w:lang w:val="bg-BG"/>
              </w:rPr>
              <w:t xml:space="preserve"> –</w:t>
            </w:r>
            <w:proofErr w:type="spellStart"/>
            <w:r>
              <w:rPr>
                <w:b/>
                <w:bCs/>
                <w:lang w:val="bg-BG"/>
              </w:rPr>
              <w:t>mentioned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conditions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are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specified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at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the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offers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evaluation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stage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and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in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the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course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of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works</w:t>
            </w:r>
            <w:proofErr w:type="spellEnd"/>
            <w:r>
              <w:rPr>
                <w:b/>
                <w:bCs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lang w:val="bg-BG"/>
              </w:rPr>
              <w:t>performance</w:t>
            </w:r>
            <w:proofErr w:type="spellEnd"/>
            <w:r>
              <w:rPr>
                <w:b/>
                <w:bCs/>
                <w:lang w:val="bg-BG"/>
              </w:rPr>
              <w:t>.</w:t>
            </w:r>
          </w:p>
        </w:tc>
      </w:tr>
      <w:tr w:rsidR="00CC1338" w:rsidRPr="006859A4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38" w:rsidRPr="006859A4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III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Time frames for the individual stages in conducting the tender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9A7470" w:rsidRPr="006859A4" w:rsidTr="00DD34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70" w:rsidRPr="006859A4" w:rsidRDefault="009A7470" w:rsidP="009A7470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3.1.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  <w:t xml:space="preserve">Deadline for submitting the Applications  for participation </w:t>
            </w:r>
            <w:r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 xml:space="preserve">in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 xml:space="preserve"> (</w:t>
            </w:r>
            <w:r>
              <w:t>Automated Tender Conduction System</w:t>
            </w:r>
            <w:r w:rsidRPr="006859A4">
              <w:rPr>
                <w:rFonts w:asciiTheme="majorBidi" w:hAnsiTheme="majorBidi" w:cstheme="majorBidi"/>
                <w:iCs/>
                <w:szCs w:val="24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70" w:rsidRPr="009E0C43" w:rsidRDefault="009A7470" w:rsidP="009A7470">
            <w:r w:rsidRPr="009E0C43">
              <w:t>30.10.2020</w:t>
            </w:r>
          </w:p>
        </w:tc>
      </w:tr>
      <w:tr w:rsidR="009A7470" w:rsidRPr="006859A4" w:rsidTr="00DD34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70" w:rsidRPr="006859A4" w:rsidRDefault="009A7470" w:rsidP="009A7470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3.2.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  <w:t xml:space="preserve">Deadline for Request for bid clarification by the Bidder (Form 11) in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70" w:rsidRPr="009E0C43" w:rsidRDefault="009A7470" w:rsidP="009A7470">
            <w:r w:rsidRPr="009E0C43">
              <w:t>05.11.2020</w:t>
            </w:r>
          </w:p>
        </w:tc>
      </w:tr>
      <w:tr w:rsidR="009A7470" w:rsidRPr="006859A4" w:rsidTr="00DD34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70" w:rsidRPr="006859A4" w:rsidRDefault="009A7470" w:rsidP="009A7470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3.3.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  <w:t xml:space="preserve">Deadline for accepting the bids in </w:t>
            </w:r>
            <w:r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70" w:rsidRDefault="009A7470" w:rsidP="009A7470">
            <w:r w:rsidRPr="009E0C43">
              <w:t>10.11.2020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8F174C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IV</w:t>
            </w:r>
            <w:r w:rsidR="008F17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Address and contact information</w:t>
            </w:r>
            <w:r w:rsidR="008F17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 w:eastAsia="en-US"/>
              </w:rPr>
              <w:t>4.1.</w:t>
            </w:r>
            <w:r w:rsidRPr="006859A4">
              <w:rPr>
                <w:rFonts w:asciiTheme="majorBidi" w:hAnsiTheme="majorBidi" w:cstheme="majorBidi"/>
                <w:lang w:val="en-GB" w:eastAsia="en-US"/>
              </w:rPr>
              <w:tab/>
            </w:r>
            <w:r w:rsidR="00C703AF" w:rsidRPr="006859A4">
              <w:rPr>
                <w:rFonts w:asciiTheme="majorBidi" w:hAnsiTheme="majorBidi" w:cstheme="majorBidi"/>
                <w:lang w:val="en-GB" w:eastAsia="en-US"/>
              </w:rPr>
              <w:t>Address (e-mail) for electronic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703AF" w:rsidP="004A0738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According to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r w:rsidR="00680926" w:rsidRPr="006859A4">
              <w:rPr>
                <w:rFonts w:asciiTheme="majorBidi" w:hAnsiTheme="majorBidi" w:cstheme="majorBidi"/>
                <w:szCs w:val="24"/>
                <w:lang w:val="en-GB"/>
              </w:rPr>
              <w:t>*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V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C703AF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Preparation of the Bid</w:t>
            </w:r>
            <w:r w:rsidR="00EF0125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5.1.</w:t>
            </w: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ab/>
              <w:t>Language of the bid and for correspondence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Bulgarian and / or English.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ab/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4A0738" w:rsidP="00C703AF">
            <w:pPr>
              <w:spacing w:before="60" w:after="60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>
              <w:rPr>
                <w:rFonts w:asciiTheme="majorBidi" w:hAnsiTheme="majorBidi" w:cstheme="majorBidi"/>
                <w:b/>
                <w:szCs w:val="24"/>
                <w:lang w:val="en-GB" w:eastAsia="ru-RU"/>
              </w:rPr>
              <w:t>EUR</w:t>
            </w:r>
          </w:p>
        </w:tc>
      </w:tr>
      <w:tr w:rsidR="00C703AF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ab/>
              <w:t>Bid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AF" w:rsidRPr="006859A4" w:rsidRDefault="00C703AF" w:rsidP="00C703AF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The period of validity of the bids shall be at least 90 (ninety) calendar days as of the final date for receiving the bids.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VI</w:t>
            </w:r>
            <w:r w:rsidR="00E13B3D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71024C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Accepting and opening the tender bids</w:t>
            </w:r>
            <w:r w:rsidR="00E13B3D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CC1338" w:rsidP="00CC13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6.1.</w:t>
            </w:r>
            <w:r w:rsidRPr="006859A4">
              <w:rPr>
                <w:rFonts w:asciiTheme="majorBidi" w:hAnsiTheme="majorBidi" w:cstheme="majorBidi"/>
                <w:lang w:val="en-GB"/>
              </w:rPr>
              <w:tab/>
            </w:r>
            <w:r w:rsidR="0071024C" w:rsidRPr="006859A4">
              <w:rPr>
                <w:rFonts w:asciiTheme="majorBidi" w:hAnsiTheme="majorBidi" w:cstheme="majorBidi"/>
                <w:lang w:val="en-GB"/>
              </w:rPr>
              <w:t>Filing the bids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1024C" w:rsidP="00CC1338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The bids </w:t>
            </w:r>
            <w:proofErr w:type="gramStart"/>
            <w:r w:rsidRPr="006859A4">
              <w:rPr>
                <w:rFonts w:asciiTheme="majorBidi" w:hAnsiTheme="majorBidi" w:cstheme="majorBidi"/>
                <w:szCs w:val="24"/>
                <w:lang w:val="en-GB"/>
              </w:rPr>
              <w:t>are filed and accepted only in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A0738">
              <w:rPr>
                <w:rFonts w:asciiTheme="majorBidi" w:hAnsiTheme="majorBidi" w:cstheme="majorBidi"/>
                <w:szCs w:val="24"/>
                <w:lang w:val="en-GB"/>
              </w:rPr>
              <w:t>ATCS</w:t>
            </w:r>
            <w:proofErr w:type="gramEnd"/>
            <w:r w:rsidR="00E13B3D" w:rsidRPr="006859A4">
              <w:rPr>
                <w:rFonts w:asciiTheme="majorBidi" w:hAnsiTheme="majorBidi" w:cstheme="majorBidi"/>
                <w:szCs w:val="24"/>
                <w:u w:val="single"/>
                <w:lang w:val="en-GB"/>
              </w:rPr>
              <w:t>.</w:t>
            </w:r>
          </w:p>
        </w:tc>
      </w:tr>
      <w:tr w:rsidR="006E1652" w:rsidRPr="006859A4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2" w:rsidRPr="006859A4" w:rsidRDefault="006E1652" w:rsidP="006E1652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6.2. Bidders’ participation in opening the bids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52" w:rsidRPr="006859A4" w:rsidRDefault="006E1652" w:rsidP="006E1652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szCs w:val="24"/>
                <w:lang w:val="en-GB" w:eastAsia="ru-RU"/>
              </w:rPr>
              <w:t>YES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E13B3D" w:rsidP="00CC13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VII. </w:t>
            </w:r>
            <w:r w:rsidR="00AE5F80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Bid structure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AE5F80" w:rsidP="00CC13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 А (</w:t>
            </w:r>
            <w:proofErr w:type="spellStart"/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Теchnical</w:t>
            </w:r>
            <w:proofErr w:type="spellEnd"/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part)</w:t>
            </w:r>
            <w:r w:rsidR="00CC1338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List of documents in envelope А;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 9 –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Qualification requirements;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lastRenderedPageBreak/>
              <w:t>Tender bid (Accompanying letter to the tender bid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); </w:t>
            </w:r>
          </w:p>
          <w:p w:rsidR="00CC1338" w:rsidRPr="006859A4" w:rsidRDefault="003A2B01" w:rsidP="00A23E80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b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2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6859A4">
              <w:rPr>
                <w:rFonts w:asciiTheme="majorBidi" w:hAnsiTheme="majorBidi" w:cstheme="majorBidi"/>
                <w:lang w:val="en-GB"/>
              </w:rPr>
              <w:t>Теchnical</w:t>
            </w:r>
            <w:proofErr w:type="spellEnd"/>
            <w:r w:rsidRPr="006859A4">
              <w:rPr>
                <w:rFonts w:asciiTheme="majorBidi" w:hAnsiTheme="majorBidi" w:cstheme="majorBidi"/>
                <w:lang w:val="en-GB"/>
              </w:rPr>
              <w:t xml:space="preserve"> bid;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3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Schedule of supplies;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Form 5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23E80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Guarantee for participation in a tender (Bid Bond)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 xml:space="preserve">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A23E8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proofErr w:type="gramStart"/>
            <w:r w:rsidRPr="006859A4">
              <w:rPr>
                <w:rFonts w:asciiTheme="majorBidi" w:hAnsiTheme="majorBidi" w:cstheme="majorBidi"/>
                <w:lang w:val="en-GB"/>
              </w:rPr>
              <w:t xml:space="preserve">Guarantee by the head office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proofErr w:type="gramEnd"/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3A2B01" w:rsidP="00594341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Questionnaire for the business partner –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80A4B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Documents confirming the relationship between the Bidder and its subcontractors (official documents for the relations with the subcontractor / s for the particular tender), involved in the performance of the works / provision of services / making deliveries being the subject to the tender, including copies of licenses, certificates and other permitting documents of the subcontractors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proofErr w:type="gramStart"/>
            <w:r w:rsidRPr="006859A4">
              <w:rPr>
                <w:rFonts w:asciiTheme="majorBidi" w:hAnsiTheme="majorBidi" w:cstheme="majorBidi"/>
                <w:i/>
                <w:lang w:val="en-GB"/>
              </w:rPr>
              <w:t>for</w:t>
            </w:r>
            <w:proofErr w:type="gramEnd"/>
            <w:r w:rsidRPr="006859A4">
              <w:rPr>
                <w:rFonts w:asciiTheme="majorBidi" w:hAnsiTheme="majorBidi" w:cstheme="majorBidi"/>
                <w:i/>
                <w:lang w:val="en-GB"/>
              </w:rPr>
              <w:t xml:space="preserve"> this tender it is not required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. – </w:t>
            </w:r>
            <w:r w:rsidRPr="006859A4">
              <w:rPr>
                <w:rFonts w:asciiTheme="majorBidi" w:hAnsiTheme="majorBidi" w:cstheme="majorBidi"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80A4B" w:rsidP="00594341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Copies of licenses, certificates and other permits, necessary for the supply of goods being the subject of the tender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="006C1483" w:rsidRPr="006859A4">
              <w:rPr>
                <w:rFonts w:asciiTheme="majorBidi" w:hAnsiTheme="majorBidi" w:cstheme="majorBidi"/>
                <w:lang w:val="en-GB"/>
              </w:rPr>
              <w:t>Form</w:t>
            </w:r>
            <w:r w:rsidR="00594341" w:rsidRPr="006859A4">
              <w:rPr>
                <w:rFonts w:asciiTheme="majorBidi" w:hAnsiTheme="majorBidi" w:cstheme="majorBidi"/>
                <w:lang w:val="en-GB"/>
              </w:rPr>
              <w:t xml:space="preserve"> 1 –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594341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594341" w:rsidRPr="0072411F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B339AD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Original Power of attorney, issued by the person, having signed the Title page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6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– </w:t>
            </w:r>
            <w:r w:rsidR="00580A4B" w:rsidRPr="006859A4">
              <w:rPr>
                <w:rFonts w:asciiTheme="majorBidi" w:hAnsiTheme="majorBidi" w:cstheme="majorBidi"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C703AF" w:rsidRPr="006859A4">
              <w:rPr>
                <w:rFonts w:asciiTheme="majorBidi" w:hAnsiTheme="majorBidi" w:cstheme="majorBidi"/>
                <w:lang w:val="en-GB"/>
              </w:rPr>
              <w:t>TPAS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859A4">
              <w:rPr>
                <w:rFonts w:asciiTheme="majorBidi" w:hAnsiTheme="majorBidi" w:cstheme="majorBidi"/>
                <w:lang w:val="en-GB"/>
              </w:rPr>
              <w:t>giving permission to such person (in the cases when such person is not the head of the company) to undertake obligations on behalf of the Bidder – Section “Price Bid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>“;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B339AD" w:rsidRPr="006859A4">
              <w:rPr>
                <w:rFonts w:asciiTheme="majorBidi" w:hAnsiTheme="majorBidi" w:cstheme="majorBidi"/>
                <w:b/>
                <w:lang w:val="en-GB"/>
              </w:rPr>
              <w:t xml:space="preserve"> 6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6C148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Copy of the Certificate of Registration of the Bidder as a legal entity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gramStart"/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–  </w:t>
            </w:r>
            <w:r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proofErr w:type="gramEnd"/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1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72411F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6C1483" w:rsidP="000F08A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57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Copy of the financial statements for the last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3 </w:t>
            </w:r>
            <w:r w:rsidRPr="006859A4">
              <w:rPr>
                <w:rFonts w:asciiTheme="majorBidi" w:hAnsiTheme="majorBidi" w:cstheme="majorBidi"/>
                <w:lang w:val="en-GB"/>
              </w:rPr>
              <w:t>three (three) years, certified by the Bidder, Balance Sheet, Profit and Loss Account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, </w:t>
            </w:r>
            <w:r w:rsidRPr="006859A4">
              <w:rPr>
                <w:rFonts w:asciiTheme="majorBidi" w:hAnsiTheme="majorBidi" w:cstheme="majorBidi"/>
                <w:lang w:val="en-GB"/>
              </w:rPr>
              <w:t>a statement of cash flows, an auditor’s opinion and a breakdown of the receivables and payables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– </w:t>
            </w:r>
            <w:r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0F08A0" w:rsidP="007A06A3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Certificate by the Registry Agency that the Bidder has not been declared bankrupt and no insolvency proceedings have begun against it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gramStart"/>
            <w:r w:rsidR="00CC1338" w:rsidRPr="006859A4">
              <w:rPr>
                <w:rFonts w:asciiTheme="majorBidi" w:hAnsiTheme="majorBidi" w:cstheme="majorBidi"/>
                <w:lang w:val="en-GB"/>
              </w:rPr>
              <w:t>– .</w:t>
            </w:r>
            <w:proofErr w:type="gramEnd"/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proofErr w:type="gramStart"/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>1</w:t>
            </w:r>
            <w:proofErr w:type="gramEnd"/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570188" w:rsidP="00B5271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Certificate by the Registry Agency that the Bidder </w:t>
            </w:r>
            <w:proofErr w:type="gramStart"/>
            <w:r w:rsidRPr="006859A4">
              <w:rPr>
                <w:rFonts w:asciiTheme="majorBidi" w:hAnsiTheme="majorBidi" w:cstheme="majorBidi"/>
                <w:lang w:val="en-GB"/>
              </w:rPr>
              <w:t>has not been declared</w:t>
            </w:r>
            <w:proofErr w:type="gramEnd"/>
            <w:r w:rsidRPr="006859A4">
              <w:rPr>
                <w:rFonts w:asciiTheme="majorBidi" w:hAnsiTheme="majorBidi" w:cstheme="majorBidi"/>
                <w:lang w:val="en-GB"/>
              </w:rPr>
              <w:t xml:space="preserve"> in liquidation and no liquidation proceedings have begun against it</w:t>
            </w:r>
            <w:r w:rsidR="003C784D">
              <w:rPr>
                <w:rFonts w:asciiTheme="majorBidi" w:hAnsiTheme="majorBidi" w:cstheme="majorBidi"/>
                <w:lang w:val="en-GB"/>
              </w:rPr>
              <w:t>. –</w:t>
            </w:r>
            <w:r w:rsidR="00B339AD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B52712">
              <w:rPr>
                <w:rFonts w:asciiTheme="majorBidi" w:hAnsiTheme="majorBidi" w:cstheme="majorBidi"/>
                <w:lang w:val="bg-BG"/>
              </w:rPr>
              <w:t>-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proofErr w:type="gramStart"/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>1</w:t>
            </w:r>
            <w:proofErr w:type="gramEnd"/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304A43" w:rsidRPr="006859A4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AC32F6" w:rsidP="00CC13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Electronic version of all the documents in Envelope В in PDF format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saved/stored on an electronic carrier, flash memory and / or a CD that is placed in 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А) 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</w:t>
            </w:r>
            <w:r w:rsidR="00CC1338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(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Bid Bond</w:t>
            </w:r>
            <w:r w:rsidR="00CC1338" w:rsidRPr="006859A4">
              <w:rPr>
                <w:rFonts w:asciiTheme="majorBidi" w:hAnsiTheme="majorBidi" w:cstheme="majorBidi"/>
                <w:szCs w:val="24"/>
                <w:lang w:val="en-GB"/>
              </w:rPr>
              <w:t>)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 xml:space="preserve">Guarantee for participation </w:t>
            </w:r>
            <w:r w:rsidR="00A961F3" w:rsidRPr="006859A4">
              <w:rPr>
                <w:rFonts w:asciiTheme="majorBidi" w:hAnsiTheme="majorBidi" w:cstheme="majorBidi"/>
                <w:lang w:val="en-GB"/>
              </w:rPr>
              <w:t>in tender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Bid Bond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</w:t>
            </w:r>
            <w:r w:rsidR="008D18D7" w:rsidRPr="006859A4">
              <w:rPr>
                <w:rFonts w:asciiTheme="majorBidi" w:hAnsiTheme="majorBidi" w:cstheme="majorBidi"/>
                <w:lang w:val="en-GB"/>
              </w:rPr>
              <w:t>–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lang w:val="en-GB"/>
              </w:rPr>
              <w:t>original</w:t>
            </w:r>
            <w:r w:rsidR="00594341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–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Envelope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 В (</w:t>
            </w:r>
            <w:r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Commercial Part</w:t>
            </w:r>
            <w:r w:rsidR="00304A43" w:rsidRPr="006859A4">
              <w:rPr>
                <w:rFonts w:asciiTheme="majorBidi" w:hAnsiTheme="majorBidi" w:cstheme="majorBidi"/>
                <w:b/>
                <w:szCs w:val="24"/>
                <w:lang w:val="en-GB"/>
              </w:rPr>
              <w:t>):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List of documents in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6859A4">
              <w:rPr>
                <w:rFonts w:asciiTheme="majorBidi" w:hAnsiTheme="majorBidi" w:cstheme="majorBidi"/>
                <w:lang w:val="en-GB"/>
              </w:rPr>
              <w:t>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В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9 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A46027" w:rsidRPr="006859A4">
              <w:rPr>
                <w:rFonts w:asciiTheme="majorBidi" w:hAnsiTheme="majorBidi" w:cstheme="majorBidi"/>
                <w:b/>
                <w:lang w:val="en-GB"/>
              </w:rPr>
              <w:t xml:space="preserve"> –т.1.5.1.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Title (Cover) page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6 </w:t>
            </w:r>
            <w:r w:rsidR="00304A43" w:rsidRPr="006859A4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  <w:r w:rsidR="008D18D7" w:rsidRPr="006859A4">
              <w:rPr>
                <w:rFonts w:asciiTheme="majorBidi" w:hAnsiTheme="majorBidi" w:cstheme="majorBidi"/>
                <w:b/>
                <w:lang w:val="en-GB"/>
              </w:rPr>
              <w:t>.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70639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Commercial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(</w:t>
            </w:r>
            <w:r w:rsidRPr="006859A4">
              <w:rPr>
                <w:rFonts w:asciiTheme="majorBidi" w:hAnsiTheme="majorBidi" w:cstheme="majorBidi"/>
                <w:lang w:val="en-GB"/>
              </w:rPr>
              <w:t>price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) </w:t>
            </w:r>
            <w:r w:rsidRPr="006859A4">
              <w:rPr>
                <w:rFonts w:asciiTheme="majorBidi" w:hAnsiTheme="majorBidi" w:cstheme="majorBidi"/>
                <w:lang w:val="en-GB"/>
              </w:rPr>
              <w:t>bid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; </w:t>
            </w:r>
            <w:r w:rsidR="006C1483" w:rsidRPr="006859A4">
              <w:rPr>
                <w:rFonts w:asciiTheme="majorBidi" w:hAnsiTheme="majorBidi" w:cstheme="majorBidi"/>
                <w:b/>
                <w:lang w:val="en-GB"/>
              </w:rPr>
              <w:t>Form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7 </w:t>
            </w:r>
            <w:r w:rsidR="00304A43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="00580A4B" w:rsidRPr="006859A4">
              <w:rPr>
                <w:rFonts w:asciiTheme="majorBidi" w:hAnsiTheme="majorBidi" w:cstheme="majorBidi"/>
                <w:b/>
                <w:lang w:val="en-GB"/>
              </w:rPr>
              <w:t>As per the requirements of</w:t>
            </w:r>
            <w:r w:rsidR="00CC1338" w:rsidRPr="006859A4">
              <w:rPr>
                <w:rFonts w:asciiTheme="majorBidi" w:hAnsiTheme="majorBidi" w:cstheme="majorBidi"/>
                <w:b/>
                <w:lang w:val="en-GB"/>
              </w:rPr>
              <w:t xml:space="preserve"> </w:t>
            </w:r>
            <w:r w:rsidR="004A0738" w:rsidRPr="004A0738">
              <w:rPr>
                <w:rFonts w:asciiTheme="majorBidi" w:hAnsiTheme="majorBidi" w:cstheme="majorBidi"/>
                <w:b/>
                <w:lang w:val="en-GB"/>
              </w:rPr>
              <w:t>ATCS</w:t>
            </w:r>
          </w:p>
        </w:tc>
      </w:tr>
      <w:tr w:rsidR="00CC1338" w:rsidRPr="006859A4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6859A4" w:rsidRDefault="0070639E" w:rsidP="00CC13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6859A4">
              <w:rPr>
                <w:rFonts w:asciiTheme="majorBidi" w:hAnsiTheme="majorBidi" w:cstheme="majorBidi"/>
                <w:lang w:val="en-GB"/>
              </w:rPr>
              <w:t>Electronic version of all the documents in Envelope В in PDF format, MS Word, Excel Formats (saved/stored on an electronic carrier, flash memory and / or a CD that is placed in Envelope</w:t>
            </w:r>
            <w:r w:rsidR="00CC1338" w:rsidRPr="006859A4">
              <w:rPr>
                <w:rFonts w:asciiTheme="majorBidi" w:hAnsiTheme="majorBidi" w:cstheme="majorBidi"/>
                <w:lang w:val="en-GB"/>
              </w:rPr>
              <w:t xml:space="preserve"> В) –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="006C1483" w:rsidRPr="006859A4">
              <w:rPr>
                <w:rFonts w:asciiTheme="majorBidi" w:hAnsiTheme="majorBidi" w:cstheme="majorBidi"/>
                <w:b/>
                <w:i/>
                <w:lang w:val="en-GB"/>
              </w:rPr>
              <w:t>for this tender it is not required</w:t>
            </w:r>
            <w:r w:rsidR="00CC1338" w:rsidRPr="006859A4">
              <w:rPr>
                <w:rFonts w:asciiTheme="majorBidi" w:hAnsiTheme="majorBidi" w:cstheme="majorBidi"/>
                <w:b/>
                <w:i/>
                <w:lang w:val="en-GB"/>
              </w:rPr>
              <w:t>.</w:t>
            </w:r>
          </w:p>
        </w:tc>
      </w:tr>
    </w:tbl>
    <w:p w:rsidR="00865004" w:rsidRPr="006859A4" w:rsidRDefault="00865004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</w:p>
    <w:p w:rsidR="00D637AA" w:rsidRPr="006859A4" w:rsidRDefault="008D18D7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  <w:r w:rsidRPr="006859A4">
        <w:rPr>
          <w:rFonts w:asciiTheme="majorBidi" w:hAnsiTheme="majorBidi" w:cstheme="majorBidi"/>
          <w:szCs w:val="24"/>
          <w:lang w:val="en-GB"/>
        </w:rPr>
        <w:t>*</w:t>
      </w:r>
      <w:r w:rsidR="004A0738" w:rsidRPr="004A0738">
        <w:rPr>
          <w:rFonts w:asciiTheme="majorBidi" w:hAnsiTheme="majorBidi" w:cstheme="majorBidi"/>
          <w:szCs w:val="24"/>
          <w:lang w:val="en-GB"/>
        </w:rPr>
        <w:t xml:space="preserve"> </w:t>
      </w:r>
      <w:r w:rsidR="004A0738">
        <w:rPr>
          <w:rFonts w:asciiTheme="majorBidi" w:hAnsiTheme="majorBidi" w:cstheme="majorBidi"/>
          <w:szCs w:val="24"/>
          <w:lang w:val="en-GB"/>
        </w:rPr>
        <w:t>ATCS</w:t>
      </w:r>
      <w:r w:rsidR="004A0738" w:rsidRPr="006859A4">
        <w:rPr>
          <w:rFonts w:asciiTheme="majorBidi" w:hAnsiTheme="majorBidi" w:cstheme="majorBidi"/>
          <w:iCs/>
          <w:szCs w:val="24"/>
          <w:lang w:val="en-GB"/>
        </w:rPr>
        <w:t xml:space="preserve"> (</w:t>
      </w:r>
      <w:r w:rsidR="004A0738">
        <w:t>Automated Tender Conduction System</w:t>
      </w:r>
      <w:r w:rsidR="004A0738" w:rsidRPr="006859A4">
        <w:rPr>
          <w:rFonts w:asciiTheme="majorBidi" w:hAnsiTheme="majorBidi" w:cstheme="majorBidi"/>
          <w:iCs/>
          <w:szCs w:val="24"/>
          <w:lang w:val="en-GB"/>
        </w:rPr>
        <w:t>)</w:t>
      </w:r>
    </w:p>
    <w:sectPr w:rsidR="00D637AA" w:rsidRPr="006859A4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06" w:rsidRDefault="00090E06" w:rsidP="00CF5625">
      <w:r>
        <w:separator/>
      </w:r>
    </w:p>
  </w:endnote>
  <w:endnote w:type="continuationSeparator" w:id="0">
    <w:p w:rsidR="00090E06" w:rsidRDefault="00090E06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C703AF" w:rsidP="00463F6D">
            <w:pPr>
              <w:pStyle w:val="ad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page</w:t>
            </w:r>
            <w:proofErr w:type="gramEnd"/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PAGE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D254F7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sz w:val="20"/>
                <w:lang w:val="bg-BG"/>
              </w:rPr>
              <w:t>о</w:t>
            </w:r>
            <w:r>
              <w:rPr>
                <w:sz w:val="20"/>
              </w:rPr>
              <w:t>f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NUMPAGES 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D254F7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06" w:rsidRDefault="00090E06" w:rsidP="00CF5625">
      <w:r>
        <w:separator/>
      </w:r>
    </w:p>
  </w:footnote>
  <w:footnote w:type="continuationSeparator" w:id="0">
    <w:p w:rsidR="00090E06" w:rsidRDefault="00090E06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4803"/>
    <w:rsid w:val="00035BF8"/>
    <w:rsid w:val="0005538D"/>
    <w:rsid w:val="00061E81"/>
    <w:rsid w:val="0006501E"/>
    <w:rsid w:val="00067826"/>
    <w:rsid w:val="00086792"/>
    <w:rsid w:val="00090E06"/>
    <w:rsid w:val="00091975"/>
    <w:rsid w:val="00092EC4"/>
    <w:rsid w:val="00095D9B"/>
    <w:rsid w:val="000A37E1"/>
    <w:rsid w:val="000B6DE7"/>
    <w:rsid w:val="000C2C04"/>
    <w:rsid w:val="000E1999"/>
    <w:rsid w:val="000E5287"/>
    <w:rsid w:val="000F08A0"/>
    <w:rsid w:val="000F24C5"/>
    <w:rsid w:val="000F7607"/>
    <w:rsid w:val="00110EA0"/>
    <w:rsid w:val="00111AEF"/>
    <w:rsid w:val="0011262E"/>
    <w:rsid w:val="0011433B"/>
    <w:rsid w:val="00125292"/>
    <w:rsid w:val="00125360"/>
    <w:rsid w:val="00130AEA"/>
    <w:rsid w:val="00133F5B"/>
    <w:rsid w:val="001347B1"/>
    <w:rsid w:val="00143763"/>
    <w:rsid w:val="00144D5A"/>
    <w:rsid w:val="001502D2"/>
    <w:rsid w:val="0016015E"/>
    <w:rsid w:val="00175DB1"/>
    <w:rsid w:val="00180DDE"/>
    <w:rsid w:val="00182631"/>
    <w:rsid w:val="001831AC"/>
    <w:rsid w:val="00183E1C"/>
    <w:rsid w:val="001870A6"/>
    <w:rsid w:val="00190489"/>
    <w:rsid w:val="00192148"/>
    <w:rsid w:val="001964F6"/>
    <w:rsid w:val="001A36E9"/>
    <w:rsid w:val="001B35C9"/>
    <w:rsid w:val="001B45A1"/>
    <w:rsid w:val="001B5051"/>
    <w:rsid w:val="001C2F9C"/>
    <w:rsid w:val="001C46BD"/>
    <w:rsid w:val="001C50E4"/>
    <w:rsid w:val="001D0C52"/>
    <w:rsid w:val="001D24C7"/>
    <w:rsid w:val="001D2EB6"/>
    <w:rsid w:val="001F270C"/>
    <w:rsid w:val="001F6E71"/>
    <w:rsid w:val="00207C8D"/>
    <w:rsid w:val="002127B0"/>
    <w:rsid w:val="002148AE"/>
    <w:rsid w:val="002226A5"/>
    <w:rsid w:val="002264C2"/>
    <w:rsid w:val="00231589"/>
    <w:rsid w:val="002369E9"/>
    <w:rsid w:val="0024039A"/>
    <w:rsid w:val="002434FE"/>
    <w:rsid w:val="002527DF"/>
    <w:rsid w:val="00253984"/>
    <w:rsid w:val="0025633F"/>
    <w:rsid w:val="00256F5C"/>
    <w:rsid w:val="002712F9"/>
    <w:rsid w:val="002746A8"/>
    <w:rsid w:val="00275079"/>
    <w:rsid w:val="00280D68"/>
    <w:rsid w:val="0028128F"/>
    <w:rsid w:val="00284E70"/>
    <w:rsid w:val="00287E30"/>
    <w:rsid w:val="00290538"/>
    <w:rsid w:val="002965E1"/>
    <w:rsid w:val="002A2233"/>
    <w:rsid w:val="002A52A0"/>
    <w:rsid w:val="002B42E0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4A43"/>
    <w:rsid w:val="00307E84"/>
    <w:rsid w:val="00311898"/>
    <w:rsid w:val="003129AC"/>
    <w:rsid w:val="003145B8"/>
    <w:rsid w:val="00332B90"/>
    <w:rsid w:val="0033772C"/>
    <w:rsid w:val="00340649"/>
    <w:rsid w:val="0034558B"/>
    <w:rsid w:val="003537F3"/>
    <w:rsid w:val="00360DC9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2B01"/>
    <w:rsid w:val="003A6AEA"/>
    <w:rsid w:val="003B3808"/>
    <w:rsid w:val="003C0F04"/>
    <w:rsid w:val="003C7479"/>
    <w:rsid w:val="003C784D"/>
    <w:rsid w:val="003D297D"/>
    <w:rsid w:val="003E01EC"/>
    <w:rsid w:val="003E1FB4"/>
    <w:rsid w:val="003E4487"/>
    <w:rsid w:val="003F151D"/>
    <w:rsid w:val="003F185E"/>
    <w:rsid w:val="003F3D72"/>
    <w:rsid w:val="004026C6"/>
    <w:rsid w:val="00412392"/>
    <w:rsid w:val="00423664"/>
    <w:rsid w:val="0042618C"/>
    <w:rsid w:val="0043645B"/>
    <w:rsid w:val="004464DB"/>
    <w:rsid w:val="00454172"/>
    <w:rsid w:val="00463F6D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0738"/>
    <w:rsid w:val="004A69CD"/>
    <w:rsid w:val="004A6B2A"/>
    <w:rsid w:val="004B5528"/>
    <w:rsid w:val="004C479F"/>
    <w:rsid w:val="004D3FB6"/>
    <w:rsid w:val="004F54C8"/>
    <w:rsid w:val="00517765"/>
    <w:rsid w:val="00521B0F"/>
    <w:rsid w:val="00530CA6"/>
    <w:rsid w:val="00532EB5"/>
    <w:rsid w:val="00534522"/>
    <w:rsid w:val="00534CF4"/>
    <w:rsid w:val="005376F7"/>
    <w:rsid w:val="00542B08"/>
    <w:rsid w:val="005470A8"/>
    <w:rsid w:val="005542B1"/>
    <w:rsid w:val="005577D5"/>
    <w:rsid w:val="00557E41"/>
    <w:rsid w:val="005670C0"/>
    <w:rsid w:val="00567F6B"/>
    <w:rsid w:val="00570188"/>
    <w:rsid w:val="00574EDD"/>
    <w:rsid w:val="00580A4B"/>
    <w:rsid w:val="00584CB7"/>
    <w:rsid w:val="00584F5A"/>
    <w:rsid w:val="00592A8F"/>
    <w:rsid w:val="00592CBC"/>
    <w:rsid w:val="00594341"/>
    <w:rsid w:val="00596C3E"/>
    <w:rsid w:val="005A334D"/>
    <w:rsid w:val="005A50EA"/>
    <w:rsid w:val="005B4302"/>
    <w:rsid w:val="005B773D"/>
    <w:rsid w:val="005C62EB"/>
    <w:rsid w:val="005D0192"/>
    <w:rsid w:val="005D15FD"/>
    <w:rsid w:val="005D1B94"/>
    <w:rsid w:val="005D6A7E"/>
    <w:rsid w:val="005D7808"/>
    <w:rsid w:val="005E0170"/>
    <w:rsid w:val="005E22FE"/>
    <w:rsid w:val="005E2387"/>
    <w:rsid w:val="005E59D3"/>
    <w:rsid w:val="005F24AA"/>
    <w:rsid w:val="00600E57"/>
    <w:rsid w:val="006111EB"/>
    <w:rsid w:val="006206E8"/>
    <w:rsid w:val="006238B8"/>
    <w:rsid w:val="006268C7"/>
    <w:rsid w:val="006317C1"/>
    <w:rsid w:val="00633360"/>
    <w:rsid w:val="006334CF"/>
    <w:rsid w:val="006422EE"/>
    <w:rsid w:val="00644011"/>
    <w:rsid w:val="006456FF"/>
    <w:rsid w:val="006529BD"/>
    <w:rsid w:val="00657931"/>
    <w:rsid w:val="00660A81"/>
    <w:rsid w:val="006706D6"/>
    <w:rsid w:val="00672FA3"/>
    <w:rsid w:val="00673495"/>
    <w:rsid w:val="00676F9F"/>
    <w:rsid w:val="00680926"/>
    <w:rsid w:val="00680D96"/>
    <w:rsid w:val="006859A4"/>
    <w:rsid w:val="006863FD"/>
    <w:rsid w:val="00686EF1"/>
    <w:rsid w:val="00690931"/>
    <w:rsid w:val="006917FF"/>
    <w:rsid w:val="00691A3A"/>
    <w:rsid w:val="00692393"/>
    <w:rsid w:val="00693212"/>
    <w:rsid w:val="006B0800"/>
    <w:rsid w:val="006B0947"/>
    <w:rsid w:val="006B5291"/>
    <w:rsid w:val="006B5A56"/>
    <w:rsid w:val="006B6412"/>
    <w:rsid w:val="006C1483"/>
    <w:rsid w:val="006D1179"/>
    <w:rsid w:val="006D3F58"/>
    <w:rsid w:val="006D7B03"/>
    <w:rsid w:val="006E01DD"/>
    <w:rsid w:val="006E1652"/>
    <w:rsid w:val="006E1EA9"/>
    <w:rsid w:val="006E416C"/>
    <w:rsid w:val="006E6F1B"/>
    <w:rsid w:val="0070404C"/>
    <w:rsid w:val="0070639E"/>
    <w:rsid w:val="0071024C"/>
    <w:rsid w:val="00710A30"/>
    <w:rsid w:val="0071171A"/>
    <w:rsid w:val="00712AA0"/>
    <w:rsid w:val="00714909"/>
    <w:rsid w:val="00717195"/>
    <w:rsid w:val="00720E0A"/>
    <w:rsid w:val="0072411F"/>
    <w:rsid w:val="007267E3"/>
    <w:rsid w:val="00731254"/>
    <w:rsid w:val="00734A96"/>
    <w:rsid w:val="00743B2F"/>
    <w:rsid w:val="00753B02"/>
    <w:rsid w:val="007555A0"/>
    <w:rsid w:val="00777E21"/>
    <w:rsid w:val="00786E8E"/>
    <w:rsid w:val="00790904"/>
    <w:rsid w:val="007920C0"/>
    <w:rsid w:val="00792259"/>
    <w:rsid w:val="007A0682"/>
    <w:rsid w:val="007A06A3"/>
    <w:rsid w:val="007A2731"/>
    <w:rsid w:val="007B6709"/>
    <w:rsid w:val="007B6E0E"/>
    <w:rsid w:val="007C30BC"/>
    <w:rsid w:val="007C50F1"/>
    <w:rsid w:val="007C57B5"/>
    <w:rsid w:val="007D3050"/>
    <w:rsid w:val="007D4F47"/>
    <w:rsid w:val="007E1303"/>
    <w:rsid w:val="007E2FA0"/>
    <w:rsid w:val="007E4BEF"/>
    <w:rsid w:val="008176D9"/>
    <w:rsid w:val="00820466"/>
    <w:rsid w:val="00820F4F"/>
    <w:rsid w:val="008217CD"/>
    <w:rsid w:val="00824367"/>
    <w:rsid w:val="00831D84"/>
    <w:rsid w:val="00840113"/>
    <w:rsid w:val="008416DE"/>
    <w:rsid w:val="00860E03"/>
    <w:rsid w:val="008614F3"/>
    <w:rsid w:val="0086322C"/>
    <w:rsid w:val="00865004"/>
    <w:rsid w:val="0086604E"/>
    <w:rsid w:val="00867F3F"/>
    <w:rsid w:val="008814F5"/>
    <w:rsid w:val="008918CD"/>
    <w:rsid w:val="00894245"/>
    <w:rsid w:val="008A5AB7"/>
    <w:rsid w:val="008C1BEC"/>
    <w:rsid w:val="008D0F04"/>
    <w:rsid w:val="008D18D7"/>
    <w:rsid w:val="008D1B1B"/>
    <w:rsid w:val="008D212C"/>
    <w:rsid w:val="008E1F63"/>
    <w:rsid w:val="008E2D6B"/>
    <w:rsid w:val="008F174C"/>
    <w:rsid w:val="00904690"/>
    <w:rsid w:val="009067B8"/>
    <w:rsid w:val="00912310"/>
    <w:rsid w:val="009165E3"/>
    <w:rsid w:val="0092100C"/>
    <w:rsid w:val="00926497"/>
    <w:rsid w:val="009271CF"/>
    <w:rsid w:val="00933BB1"/>
    <w:rsid w:val="00941D1B"/>
    <w:rsid w:val="009422D3"/>
    <w:rsid w:val="00942F88"/>
    <w:rsid w:val="00943C85"/>
    <w:rsid w:val="00950F35"/>
    <w:rsid w:val="00956C53"/>
    <w:rsid w:val="00965E21"/>
    <w:rsid w:val="00977C3F"/>
    <w:rsid w:val="0099382D"/>
    <w:rsid w:val="00993A12"/>
    <w:rsid w:val="009A15B5"/>
    <w:rsid w:val="009A7470"/>
    <w:rsid w:val="009B4802"/>
    <w:rsid w:val="009C0452"/>
    <w:rsid w:val="009C324F"/>
    <w:rsid w:val="009D6F99"/>
    <w:rsid w:val="009E2ABB"/>
    <w:rsid w:val="00A024E7"/>
    <w:rsid w:val="00A0383A"/>
    <w:rsid w:val="00A2039A"/>
    <w:rsid w:val="00A23CA7"/>
    <w:rsid w:val="00A23E80"/>
    <w:rsid w:val="00A27428"/>
    <w:rsid w:val="00A348A6"/>
    <w:rsid w:val="00A35462"/>
    <w:rsid w:val="00A373A8"/>
    <w:rsid w:val="00A46027"/>
    <w:rsid w:val="00A46156"/>
    <w:rsid w:val="00A556CB"/>
    <w:rsid w:val="00A5729C"/>
    <w:rsid w:val="00A66166"/>
    <w:rsid w:val="00A803D3"/>
    <w:rsid w:val="00A85640"/>
    <w:rsid w:val="00A85885"/>
    <w:rsid w:val="00A961F3"/>
    <w:rsid w:val="00AA7788"/>
    <w:rsid w:val="00AB5720"/>
    <w:rsid w:val="00AB6F53"/>
    <w:rsid w:val="00AC26CE"/>
    <w:rsid w:val="00AC32F6"/>
    <w:rsid w:val="00AC64A4"/>
    <w:rsid w:val="00AD1C91"/>
    <w:rsid w:val="00AD5131"/>
    <w:rsid w:val="00AE1DF0"/>
    <w:rsid w:val="00AE3B45"/>
    <w:rsid w:val="00AE5F80"/>
    <w:rsid w:val="00AF20AB"/>
    <w:rsid w:val="00AF5BD9"/>
    <w:rsid w:val="00B028E6"/>
    <w:rsid w:val="00B0371B"/>
    <w:rsid w:val="00B038A8"/>
    <w:rsid w:val="00B05F2E"/>
    <w:rsid w:val="00B14F3F"/>
    <w:rsid w:val="00B23B86"/>
    <w:rsid w:val="00B32825"/>
    <w:rsid w:val="00B339AD"/>
    <w:rsid w:val="00B3727E"/>
    <w:rsid w:val="00B42B55"/>
    <w:rsid w:val="00B50AFE"/>
    <w:rsid w:val="00B52712"/>
    <w:rsid w:val="00B5300C"/>
    <w:rsid w:val="00B658BE"/>
    <w:rsid w:val="00B71DF2"/>
    <w:rsid w:val="00B7736A"/>
    <w:rsid w:val="00B84C3E"/>
    <w:rsid w:val="00BA1E04"/>
    <w:rsid w:val="00BA2592"/>
    <w:rsid w:val="00BB6F92"/>
    <w:rsid w:val="00BC1C56"/>
    <w:rsid w:val="00BC603C"/>
    <w:rsid w:val="00BC6249"/>
    <w:rsid w:val="00BD154C"/>
    <w:rsid w:val="00BE0742"/>
    <w:rsid w:val="00BE1F52"/>
    <w:rsid w:val="00BF3749"/>
    <w:rsid w:val="00BF6EBF"/>
    <w:rsid w:val="00C01AED"/>
    <w:rsid w:val="00C0342B"/>
    <w:rsid w:val="00C0380C"/>
    <w:rsid w:val="00C10D8D"/>
    <w:rsid w:val="00C15CC9"/>
    <w:rsid w:val="00C21A8B"/>
    <w:rsid w:val="00C24969"/>
    <w:rsid w:val="00C24C1F"/>
    <w:rsid w:val="00C25FF3"/>
    <w:rsid w:val="00C30682"/>
    <w:rsid w:val="00C32373"/>
    <w:rsid w:val="00C32CB9"/>
    <w:rsid w:val="00C33E36"/>
    <w:rsid w:val="00C35CEA"/>
    <w:rsid w:val="00C35D85"/>
    <w:rsid w:val="00C36136"/>
    <w:rsid w:val="00C475D8"/>
    <w:rsid w:val="00C511A6"/>
    <w:rsid w:val="00C57F88"/>
    <w:rsid w:val="00C60297"/>
    <w:rsid w:val="00C60EFA"/>
    <w:rsid w:val="00C703AF"/>
    <w:rsid w:val="00C714F5"/>
    <w:rsid w:val="00C83AD7"/>
    <w:rsid w:val="00C95BCC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D637E"/>
    <w:rsid w:val="00CE0ABD"/>
    <w:rsid w:val="00CF4670"/>
    <w:rsid w:val="00CF5625"/>
    <w:rsid w:val="00D14184"/>
    <w:rsid w:val="00D16309"/>
    <w:rsid w:val="00D17FA2"/>
    <w:rsid w:val="00D202A2"/>
    <w:rsid w:val="00D254F7"/>
    <w:rsid w:val="00D26CE1"/>
    <w:rsid w:val="00D359B9"/>
    <w:rsid w:val="00D45E78"/>
    <w:rsid w:val="00D4680C"/>
    <w:rsid w:val="00D54C62"/>
    <w:rsid w:val="00D57DE1"/>
    <w:rsid w:val="00D60111"/>
    <w:rsid w:val="00D63391"/>
    <w:rsid w:val="00D637AA"/>
    <w:rsid w:val="00D74B09"/>
    <w:rsid w:val="00D81A00"/>
    <w:rsid w:val="00D8369C"/>
    <w:rsid w:val="00D86135"/>
    <w:rsid w:val="00D976B0"/>
    <w:rsid w:val="00D97809"/>
    <w:rsid w:val="00DA3E76"/>
    <w:rsid w:val="00DA4898"/>
    <w:rsid w:val="00DB6708"/>
    <w:rsid w:val="00DC1E8F"/>
    <w:rsid w:val="00DC2BFA"/>
    <w:rsid w:val="00DC6ED4"/>
    <w:rsid w:val="00DD5C7F"/>
    <w:rsid w:val="00DD7127"/>
    <w:rsid w:val="00DD7C45"/>
    <w:rsid w:val="00DE3CDC"/>
    <w:rsid w:val="00DE4821"/>
    <w:rsid w:val="00DE6676"/>
    <w:rsid w:val="00DF7C07"/>
    <w:rsid w:val="00E003C7"/>
    <w:rsid w:val="00E11469"/>
    <w:rsid w:val="00E13B3D"/>
    <w:rsid w:val="00E14748"/>
    <w:rsid w:val="00E21E8A"/>
    <w:rsid w:val="00E32574"/>
    <w:rsid w:val="00E365F4"/>
    <w:rsid w:val="00E4197E"/>
    <w:rsid w:val="00E465C2"/>
    <w:rsid w:val="00E57A7E"/>
    <w:rsid w:val="00E60220"/>
    <w:rsid w:val="00E70BD2"/>
    <w:rsid w:val="00E80C2E"/>
    <w:rsid w:val="00E9098E"/>
    <w:rsid w:val="00E912F7"/>
    <w:rsid w:val="00E9583C"/>
    <w:rsid w:val="00EB6EDF"/>
    <w:rsid w:val="00EC0B09"/>
    <w:rsid w:val="00EC1571"/>
    <w:rsid w:val="00ED0FA6"/>
    <w:rsid w:val="00ED4B15"/>
    <w:rsid w:val="00ED652D"/>
    <w:rsid w:val="00ED664E"/>
    <w:rsid w:val="00EE02A7"/>
    <w:rsid w:val="00EE74AC"/>
    <w:rsid w:val="00EF0125"/>
    <w:rsid w:val="00F01186"/>
    <w:rsid w:val="00F0679E"/>
    <w:rsid w:val="00F110EC"/>
    <w:rsid w:val="00F12205"/>
    <w:rsid w:val="00F13583"/>
    <w:rsid w:val="00F13670"/>
    <w:rsid w:val="00F238BF"/>
    <w:rsid w:val="00F2740B"/>
    <w:rsid w:val="00F314C5"/>
    <w:rsid w:val="00F3399A"/>
    <w:rsid w:val="00F33B50"/>
    <w:rsid w:val="00F500D0"/>
    <w:rsid w:val="00F514F6"/>
    <w:rsid w:val="00F5434E"/>
    <w:rsid w:val="00F550FE"/>
    <w:rsid w:val="00F62360"/>
    <w:rsid w:val="00F64207"/>
    <w:rsid w:val="00F66E66"/>
    <w:rsid w:val="00F67B07"/>
    <w:rsid w:val="00F73250"/>
    <w:rsid w:val="00F810E1"/>
    <w:rsid w:val="00F84B4B"/>
    <w:rsid w:val="00F84D33"/>
    <w:rsid w:val="00F91663"/>
    <w:rsid w:val="00FA4BA8"/>
    <w:rsid w:val="00FA6764"/>
    <w:rsid w:val="00FA684B"/>
    <w:rsid w:val="00FB284D"/>
    <w:rsid w:val="00FB357F"/>
    <w:rsid w:val="00FB3B5B"/>
    <w:rsid w:val="00FB7049"/>
    <w:rsid w:val="00FC4543"/>
    <w:rsid w:val="00FC693B"/>
    <w:rsid w:val="00FD245E"/>
    <w:rsid w:val="00FE2084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E622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7DF9-A6CF-4AFF-9C30-C792B5A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Dilmukhametov, Azat Y.</dc:creator>
  <cp:lastModifiedBy>Миглена Николова Христова</cp:lastModifiedBy>
  <cp:revision>51</cp:revision>
  <cp:lastPrinted>2018-02-09T08:24:00Z</cp:lastPrinted>
  <dcterms:created xsi:type="dcterms:W3CDTF">2018-07-11T12:50:00Z</dcterms:created>
  <dcterms:modified xsi:type="dcterms:W3CDTF">2020-10-23T10:13:00Z</dcterms:modified>
</cp:coreProperties>
</file>