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84" w:rsidRDefault="00181D84" w:rsidP="00A05A3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5A33" w:rsidRPr="00745EF5" w:rsidRDefault="00A05A33" w:rsidP="00A05A3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5EF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A05A33" w:rsidRPr="00745EF5" w:rsidRDefault="00A05A33" w:rsidP="00A05A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33" w:rsidRPr="00745EF5" w:rsidRDefault="00A05A33" w:rsidP="00A05A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F5">
        <w:rPr>
          <w:rFonts w:ascii="Times New Roman" w:hAnsi="Times New Roman" w:cs="Times New Roman"/>
          <w:b/>
          <w:sz w:val="24"/>
          <w:szCs w:val="24"/>
        </w:rPr>
        <w:t>МЕТОДИКАТА ЗА КОМПЛЕКСНА ОЦЕНКА И НАЧИНА ЗА ОПРЕДЕЛЯНЕ НА ОЦЕНКАТА ПО ВСЕКИ ПОКАЗАТЕЛ.</w:t>
      </w:r>
    </w:p>
    <w:p w:rsidR="00A05A33" w:rsidRPr="00745EF5" w:rsidRDefault="00A05A33" w:rsidP="00A05A33">
      <w:pPr>
        <w:pStyle w:val="Default"/>
        <w:spacing w:after="120"/>
        <w:jc w:val="both"/>
      </w:pP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Критерият за възлагане на настоящата обществена поръчка е икономически най-изгодната оферта, въз основа на критерия за </w:t>
      </w:r>
      <w:r w:rsidRPr="00745EF5">
        <w:rPr>
          <w:b/>
          <w:bCs/>
        </w:rPr>
        <w:t xml:space="preserve">„оптимално съотношение качество/цена“ </w:t>
      </w:r>
      <w:r w:rsidRPr="00745EF5">
        <w:t xml:space="preserve">по смисъла на чл.70, ал.2, т.3 от ЗОП.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Максимално възможна оценка 100 точки.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i/>
          <w:iCs/>
        </w:rPr>
        <w:t xml:space="preserve">Забележка: При оценката комисията изчислява точките с точност до втория знак след десетичната запетая.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Критерият </w:t>
      </w:r>
      <w:r w:rsidRPr="00745EF5">
        <w:rPr>
          <w:b/>
          <w:bCs/>
        </w:rPr>
        <w:t xml:space="preserve">„оптимално съотношение качество/цена” </w:t>
      </w:r>
      <w:r w:rsidRPr="00745EF5">
        <w:t xml:space="preserve">включва следните показатели и тежести в комплексната оценка на офертите: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Комплексна оценка (КО) се изчислява по формулата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КО= ОТ+ ОЦ,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където: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ОТ е Оценка на техническото предложение на участника.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ОЦ е Оценка на ценовото предложение на участника.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Комплексната оценка се измерва в </w:t>
      </w:r>
      <w:r w:rsidRPr="00745EF5">
        <w:rPr>
          <w:b/>
          <w:bCs/>
        </w:rPr>
        <w:t xml:space="preserve">брой точки. </w:t>
      </w:r>
      <w:r w:rsidRPr="00745EF5">
        <w:t xml:space="preserve">Максималният брой точки, който може да получи участник е </w:t>
      </w:r>
      <w:r w:rsidRPr="00745EF5">
        <w:rPr>
          <w:b/>
          <w:bCs/>
        </w:rPr>
        <w:t xml:space="preserve">100 т.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На първо място се класира участникът, събрал най-много точки. </w:t>
      </w:r>
    </w:p>
    <w:p w:rsidR="00DB222C" w:rsidRPr="00745EF5" w:rsidRDefault="00DB222C" w:rsidP="00A05A33">
      <w:pPr>
        <w:pStyle w:val="Default"/>
        <w:spacing w:after="120"/>
        <w:jc w:val="both"/>
      </w:pPr>
    </w:p>
    <w:p w:rsidR="001C2152" w:rsidRPr="00745EF5" w:rsidRDefault="001C2152" w:rsidP="00A05A33">
      <w:pPr>
        <w:pStyle w:val="Default"/>
        <w:spacing w:after="120"/>
        <w:jc w:val="both"/>
        <w:rPr>
          <w:b/>
          <w:u w:val="single"/>
        </w:rPr>
      </w:pPr>
      <w:r w:rsidRPr="00745EF5">
        <w:rPr>
          <w:b/>
          <w:bCs/>
          <w:u w:val="single"/>
        </w:rPr>
        <w:t xml:space="preserve">(1) </w:t>
      </w:r>
      <w:r w:rsidRPr="00745EF5">
        <w:rPr>
          <w:b/>
          <w:u w:val="single"/>
        </w:rPr>
        <w:t xml:space="preserve">Показател </w:t>
      </w:r>
      <w:r w:rsidRPr="00745EF5">
        <w:rPr>
          <w:b/>
          <w:bCs/>
          <w:u w:val="single"/>
        </w:rPr>
        <w:t xml:space="preserve">ОТ - Оценка на техническото предложение на участника </w:t>
      </w:r>
      <w:r w:rsidRPr="00745EF5">
        <w:rPr>
          <w:b/>
          <w:u w:val="single"/>
        </w:rPr>
        <w:t xml:space="preserve">е с максимална стойност 60 (шестдесет) точки;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Техническо предложение, което не съответства на действащи технически норми и стандарти, на изисквания на Техническите спецификации на Възложителя и/или на разпоредби на приложимата нормативна уредба, няма да бъде оценявано и ще бъде отстранено от участие в процедурата.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ОТ=T1 + T2+ T3 + T4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където: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T1 e „Технологичен процес”;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T2 e „Експлоатационни разходи”;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T3 e „Организация на проектантската задача”;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lastRenderedPageBreak/>
        <w:t xml:space="preserve">T4 e „Организация на строителството и доставките на оборудване и съоръжения за ПСОВ”;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Максималния брой точки по всеки подпоказател е както следва: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T1 - </w:t>
      </w:r>
      <w:r w:rsidRPr="00745EF5">
        <w:t xml:space="preserve">20 точки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T2 - </w:t>
      </w:r>
      <w:r w:rsidRPr="00745EF5">
        <w:t xml:space="preserve">20 точки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T3 </w:t>
      </w:r>
      <w:r w:rsidRPr="00745EF5">
        <w:t xml:space="preserve">- 10 точки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T4 </w:t>
      </w:r>
      <w:r w:rsidRPr="00745EF5">
        <w:t xml:space="preserve">- 10 точки </w:t>
      </w:r>
    </w:p>
    <w:p w:rsidR="001C2152" w:rsidRPr="00745EF5" w:rsidRDefault="001C2152" w:rsidP="00A05A33">
      <w:pPr>
        <w:pStyle w:val="Default"/>
        <w:spacing w:after="120"/>
        <w:jc w:val="both"/>
      </w:pPr>
    </w:p>
    <w:p w:rsidR="001C2152" w:rsidRPr="00745EF5" w:rsidRDefault="001C2152" w:rsidP="00A05A33">
      <w:pPr>
        <w:pStyle w:val="Default"/>
        <w:numPr>
          <w:ilvl w:val="0"/>
          <w:numId w:val="2"/>
        </w:numPr>
        <w:spacing w:after="120"/>
        <w:jc w:val="both"/>
      </w:pPr>
      <w:r w:rsidRPr="00745EF5">
        <w:rPr>
          <w:b/>
          <w:bCs/>
        </w:rPr>
        <w:t xml:space="preserve">Подпоказател T1 e „Технологичен процес” </w:t>
      </w:r>
      <w:r w:rsidRPr="00745EF5">
        <w:t xml:space="preserve">с максимална стойност 20 (двадесет) точки.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Скалата за оценка на </w:t>
      </w:r>
      <w:r w:rsidRPr="00745EF5">
        <w:rPr>
          <w:b/>
          <w:bCs/>
        </w:rPr>
        <w:t xml:space="preserve">Т1 </w:t>
      </w:r>
      <w:r w:rsidRPr="00745EF5">
        <w:t xml:space="preserve">е двустепенна - 10 и 20 точки в зависимост от предложения процес на пречистване на отпадъчните води, съответствието и взаимната обвързаност между хидравлични и проектни/ технологични изчисления и основните чертежи, показващи проектното решение. </w:t>
      </w:r>
    </w:p>
    <w:p w:rsidR="00860951" w:rsidRPr="00745EF5" w:rsidRDefault="001C2152" w:rsidP="00A05A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F5">
        <w:rPr>
          <w:rFonts w:ascii="Times New Roman" w:hAnsi="Times New Roman" w:cs="Times New Roman"/>
          <w:sz w:val="24"/>
          <w:szCs w:val="24"/>
        </w:rPr>
        <w:t>Участникът следва да докаже, че технологичния процес е изцяло в съответствие с изискванията на Възложителя. Трябва да представи описание на процеса на пречистване на отпадъчните води и предложените за изпълнение работи. Да приложи хидравлични и проектни/ технологични изчисления, и основни чертежи (генерален план, технологична схема, хидравличен профил и др.), показващи проектното решение. Предоставените в индикативния проект към тръжните документация чертежи са само за информация. Участникът следва да изготви свой проект.</w:t>
      </w:r>
    </w:p>
    <w:tbl>
      <w:tblPr>
        <w:tblW w:w="109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46"/>
      </w:tblGrid>
      <w:tr w:rsidR="001C2152" w:rsidRPr="00745EF5" w:rsidTr="001C2152">
        <w:trPr>
          <w:trHeight w:val="1433"/>
        </w:trPr>
        <w:tc>
          <w:tcPr>
            <w:tcW w:w="1094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260"/>
              <w:gridCol w:w="3119"/>
            </w:tblGrid>
            <w:tr w:rsidR="001C2152" w:rsidRPr="00745EF5" w:rsidTr="00A05A33">
              <w:trPr>
                <w:trHeight w:val="313"/>
              </w:trPr>
              <w:tc>
                <w:tcPr>
                  <w:tcW w:w="2547" w:type="dxa"/>
                </w:tcPr>
                <w:p w:rsidR="001C2152" w:rsidRPr="00745EF5" w:rsidRDefault="001C2152" w:rsidP="00A05A33">
                  <w:pPr>
                    <w:pStyle w:val="Default"/>
                    <w:spacing w:after="120"/>
                    <w:jc w:val="both"/>
                    <w:rPr>
                      <w:b/>
                      <w:bCs/>
                    </w:rPr>
                  </w:pPr>
                  <w:r w:rsidRPr="00745EF5">
                    <w:rPr>
                      <w:b/>
                      <w:bCs/>
                    </w:rPr>
                    <w:t xml:space="preserve">Подпоказател </w:t>
                  </w:r>
                </w:p>
              </w:tc>
              <w:tc>
                <w:tcPr>
                  <w:tcW w:w="3260" w:type="dxa"/>
                </w:tcPr>
                <w:p w:rsidR="001C2152" w:rsidRPr="00745EF5" w:rsidRDefault="001C2152" w:rsidP="00A05A33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5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Начин на оценка </w:t>
                  </w:r>
                </w:p>
              </w:tc>
              <w:tc>
                <w:tcPr>
                  <w:tcW w:w="3119" w:type="dxa"/>
                </w:tcPr>
                <w:p w:rsidR="001C2152" w:rsidRPr="00745EF5" w:rsidRDefault="001C2152" w:rsidP="00A05A33">
                  <w:pPr>
                    <w:pStyle w:val="Default"/>
                    <w:spacing w:after="120"/>
                    <w:jc w:val="both"/>
                    <w:rPr>
                      <w:bCs/>
                    </w:rPr>
                  </w:pPr>
                  <w:r w:rsidRPr="00745EF5">
                    <w:rPr>
                      <w:b/>
                      <w:bCs/>
                    </w:rPr>
                    <w:t xml:space="preserve">Оценка </w:t>
                  </w:r>
                </w:p>
              </w:tc>
            </w:tr>
            <w:tr w:rsidR="00A05A33" w:rsidRPr="00745EF5" w:rsidTr="00A05A33">
              <w:trPr>
                <w:trHeight w:val="4433"/>
              </w:trPr>
              <w:tc>
                <w:tcPr>
                  <w:tcW w:w="2547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  <w:rPr>
                      <w:b/>
                      <w:bCs/>
                    </w:rPr>
                  </w:pPr>
                  <w:r w:rsidRPr="00745EF5">
                    <w:rPr>
                      <w:b/>
                      <w:bCs/>
                    </w:rPr>
                    <w:t>Технологичен процес</w:t>
                  </w:r>
                </w:p>
              </w:tc>
              <w:tc>
                <w:tcPr>
                  <w:tcW w:w="3260" w:type="dxa"/>
                  <w:vMerge w:val="restart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</w:pPr>
                  <w:r w:rsidRPr="00745EF5">
                    <w:rPr>
                      <w:bCs/>
                    </w:rPr>
                    <w:t>По този подпоказател Комисията оценява процеса на пречистване на отпадъчните води, съответствието и взаимната обвързаност между хидравлични и проектни/ технологични изчисления и основните чертежи, показващи проектното решение. Преценява адекватността и целесъобразността на представеното технологично решение.</w:t>
                  </w:r>
                </w:p>
              </w:tc>
              <w:tc>
                <w:tcPr>
                  <w:tcW w:w="3119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  <w:rPr>
                      <w:b/>
                      <w:bCs/>
                    </w:rPr>
                  </w:pPr>
                  <w:r w:rsidRPr="00745EF5">
                    <w:rPr>
                      <w:bCs/>
                    </w:rPr>
                    <w:t>10 т. – Предложеният технологичен процес гарантира изпълнението на основните заложени в поръчката дейности, но съдържа частични вътрешни противоречия, които не са съществени и могат да бъдат преодолени при проектирането, без това да повлияе на резултатите на изпълнението на основните заложени в поръчката дейности, посочени от Възложителя в техническата документация.</w:t>
                  </w:r>
                </w:p>
              </w:tc>
            </w:tr>
            <w:tr w:rsidR="00A05A33" w:rsidRPr="00745EF5" w:rsidTr="00A05A33">
              <w:tc>
                <w:tcPr>
                  <w:tcW w:w="2547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  <w:rPr>
                      <w:bCs/>
                    </w:rPr>
                  </w:pPr>
                  <w:r w:rsidRPr="00745EF5">
                    <w:rPr>
                      <w:bCs/>
                    </w:rPr>
                    <w:t xml:space="preserve">20 т. – Предложеният технологичен процес гарантира изпълнението на основните заложени в поръчката дейности, посочени от Възложителя в техническата </w:t>
                  </w:r>
                  <w:r w:rsidRPr="00745EF5">
                    <w:rPr>
                      <w:bCs/>
                    </w:rPr>
                    <w:lastRenderedPageBreak/>
                    <w:t>документация, като технологията е съобразена със спецификата и местоположението на обекта, атмосферните условия и изпълнение на СМР и доставки при работеща станция.</w:t>
                  </w:r>
                </w:p>
              </w:tc>
            </w:tr>
          </w:tbl>
          <w:p w:rsidR="001C2152" w:rsidRPr="00745EF5" w:rsidRDefault="001C2152" w:rsidP="00A05A33">
            <w:pPr>
              <w:pStyle w:val="Default"/>
              <w:spacing w:after="120"/>
              <w:jc w:val="both"/>
            </w:pPr>
          </w:p>
        </w:tc>
      </w:tr>
    </w:tbl>
    <w:p w:rsidR="001C2152" w:rsidRPr="00745EF5" w:rsidRDefault="001C2152" w:rsidP="00A05A33">
      <w:pPr>
        <w:pStyle w:val="Default"/>
        <w:spacing w:after="120"/>
        <w:jc w:val="both"/>
      </w:pPr>
    </w:p>
    <w:p w:rsidR="001C2152" w:rsidRPr="00745EF5" w:rsidRDefault="001C2152" w:rsidP="00A05A33">
      <w:pPr>
        <w:pStyle w:val="Default"/>
        <w:numPr>
          <w:ilvl w:val="0"/>
          <w:numId w:val="2"/>
        </w:numPr>
        <w:spacing w:after="120"/>
        <w:jc w:val="both"/>
      </w:pPr>
      <w:r w:rsidRPr="00745EF5">
        <w:t xml:space="preserve">Подпоказател </w:t>
      </w:r>
      <w:r w:rsidRPr="00745EF5">
        <w:rPr>
          <w:b/>
          <w:bCs/>
        </w:rPr>
        <w:t xml:space="preserve">T2 - „Експлоатационни разходи” е </w:t>
      </w:r>
      <w:r w:rsidRPr="00745EF5">
        <w:t xml:space="preserve">с максимална стойност 20 (двадесет) точки;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Подпоказателя е предмет на оценка, съгласно тази методика след установяване на пълното съответствие на </w:t>
      </w:r>
      <w:r w:rsidRPr="00745EF5">
        <w:rPr>
          <w:b/>
          <w:bCs/>
        </w:rPr>
        <w:t xml:space="preserve">Гаранцията на процеса </w:t>
      </w:r>
      <w:r w:rsidRPr="00745EF5">
        <w:t xml:space="preserve">с изискванията на Възложителя. Експлоатационните разходи трябва да са в пълно съответствие с предложената технологична схема и оборудване.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t xml:space="preserve">Оценката по Подпоказател „Експлоатационни разходи” на конкретния участник се определя по следната формула: </w:t>
      </w:r>
    </w:p>
    <w:p w:rsidR="001C2152" w:rsidRPr="00745EF5" w:rsidRDefault="001C2152" w:rsidP="00A05A33">
      <w:pPr>
        <w:pStyle w:val="Default"/>
        <w:spacing w:after="120"/>
        <w:ind w:firstLine="708"/>
        <w:jc w:val="both"/>
      </w:pPr>
      <w:r w:rsidRPr="00745EF5">
        <w:rPr>
          <w:i/>
          <w:iCs/>
        </w:rPr>
        <w:t xml:space="preserve">Ел. енергия мин. </w:t>
      </w:r>
    </w:p>
    <w:p w:rsidR="001C2152" w:rsidRPr="00745EF5" w:rsidRDefault="001C2152" w:rsidP="00A05A33">
      <w:pPr>
        <w:pStyle w:val="Default"/>
        <w:spacing w:after="120"/>
        <w:jc w:val="both"/>
      </w:pPr>
      <w:r w:rsidRPr="00745EF5">
        <w:rPr>
          <w:b/>
          <w:bCs/>
        </w:rPr>
        <w:t>Т2</w:t>
      </w:r>
      <w:r w:rsidRPr="00745EF5">
        <w:t xml:space="preserve">= ------------------------ х 20, където: </w:t>
      </w:r>
    </w:p>
    <w:p w:rsidR="001C2152" w:rsidRPr="00745EF5" w:rsidRDefault="001C2152" w:rsidP="00A05A33">
      <w:pPr>
        <w:pStyle w:val="Default"/>
        <w:spacing w:after="120"/>
        <w:ind w:firstLine="708"/>
        <w:jc w:val="both"/>
      </w:pPr>
      <w:r w:rsidRPr="00745EF5">
        <w:rPr>
          <w:i/>
          <w:iCs/>
        </w:rPr>
        <w:t xml:space="preserve">Ел. енергия Участник </w:t>
      </w:r>
    </w:p>
    <w:p w:rsidR="004A7900" w:rsidRPr="004A7900" w:rsidRDefault="001C2152" w:rsidP="004A79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00">
        <w:rPr>
          <w:rFonts w:ascii="Times New Roman" w:hAnsi="Times New Roman" w:cs="Times New Roman"/>
          <w:b/>
          <w:bCs/>
          <w:sz w:val="24"/>
          <w:szCs w:val="24"/>
        </w:rPr>
        <w:t>Ел. енергия</w:t>
      </w:r>
      <w:r w:rsidR="001712FB" w:rsidRPr="004A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2FB" w:rsidRPr="004A7900">
        <w:rPr>
          <w:rFonts w:ascii="Times New Roman" w:hAnsi="Times New Roman" w:cs="Times New Roman"/>
          <w:b/>
          <w:bCs/>
          <w:i/>
          <w:sz w:val="24"/>
          <w:szCs w:val="24"/>
        </w:rPr>
        <w:t>мин.</w:t>
      </w:r>
      <w:r w:rsidR="001712FB" w:rsidRPr="004A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900">
        <w:rPr>
          <w:rFonts w:ascii="Times New Roman" w:hAnsi="Times New Roman" w:cs="Times New Roman"/>
          <w:sz w:val="24"/>
          <w:szCs w:val="24"/>
        </w:rPr>
        <w:t>е предложената от Участниците най-ниска стойност на</w:t>
      </w:r>
      <w:r w:rsidR="00B1163E" w:rsidRPr="004A7900">
        <w:rPr>
          <w:rFonts w:ascii="Times New Roman" w:hAnsi="Times New Roman" w:cs="Times New Roman"/>
          <w:sz w:val="24"/>
          <w:szCs w:val="24"/>
        </w:rPr>
        <w:t xml:space="preserve"> </w:t>
      </w:r>
      <w:r w:rsidR="006B7F89" w:rsidRPr="004A7900">
        <w:rPr>
          <w:rFonts w:ascii="Times New Roman" w:hAnsi="Times New Roman" w:cs="Times New Roman"/>
          <w:sz w:val="24"/>
          <w:szCs w:val="24"/>
        </w:rPr>
        <w:t>консумация на ел. енергия в киловатчаса/година</w:t>
      </w:r>
      <w:r w:rsidR="004A7900" w:rsidRPr="004A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900" w:rsidRPr="004A7900">
        <w:rPr>
          <w:rFonts w:ascii="Times New Roman" w:hAnsi="Times New Roman" w:cs="Times New Roman"/>
          <w:i/>
          <w:sz w:val="24"/>
          <w:szCs w:val="24"/>
        </w:rPr>
        <w:t>при максимално натоварване</w:t>
      </w:r>
      <w:r w:rsidR="004A7900">
        <w:rPr>
          <w:rFonts w:ascii="Times New Roman" w:hAnsi="Times New Roman" w:cs="Times New Roman"/>
          <w:i/>
          <w:sz w:val="24"/>
          <w:szCs w:val="24"/>
        </w:rPr>
        <w:t xml:space="preserve"> на съоръжението</w:t>
      </w:r>
      <w:bookmarkStart w:id="0" w:name="_GoBack"/>
      <w:bookmarkEnd w:id="0"/>
      <w:r w:rsidR="004A7900" w:rsidRPr="004A7900">
        <w:rPr>
          <w:rFonts w:ascii="Times New Roman" w:hAnsi="Times New Roman" w:cs="Times New Roman"/>
          <w:i/>
          <w:sz w:val="24"/>
          <w:szCs w:val="24"/>
        </w:rPr>
        <w:t>.</w:t>
      </w:r>
    </w:p>
    <w:p w:rsidR="004A7900" w:rsidRPr="004A7900" w:rsidRDefault="006B7F89" w:rsidP="004A79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00">
        <w:rPr>
          <w:rFonts w:ascii="Times New Roman" w:hAnsi="Times New Roman" w:cs="Times New Roman"/>
          <w:b/>
          <w:bCs/>
          <w:sz w:val="24"/>
          <w:szCs w:val="24"/>
        </w:rPr>
        <w:t>Ел.енергия</w:t>
      </w:r>
      <w:r w:rsidR="001712FB" w:rsidRPr="004A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900">
        <w:rPr>
          <w:rFonts w:ascii="Times New Roman" w:hAnsi="Times New Roman" w:cs="Times New Roman"/>
          <w:b/>
          <w:bCs/>
          <w:i/>
          <w:sz w:val="24"/>
          <w:szCs w:val="24"/>
        </w:rPr>
        <w:t>Участник</w:t>
      </w:r>
      <w:r w:rsidRPr="004A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900">
        <w:rPr>
          <w:rFonts w:ascii="Times New Roman" w:hAnsi="Times New Roman" w:cs="Times New Roman"/>
          <w:sz w:val="24"/>
          <w:szCs w:val="24"/>
        </w:rPr>
        <w:t>е предложената от Участника консумация на ел. енергия в киловатчаса/година</w:t>
      </w:r>
      <w:r w:rsidR="004A7900" w:rsidRPr="004A7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900" w:rsidRPr="004A7900">
        <w:rPr>
          <w:rFonts w:ascii="Times New Roman" w:hAnsi="Times New Roman" w:cs="Times New Roman"/>
          <w:i/>
          <w:sz w:val="24"/>
          <w:szCs w:val="24"/>
        </w:rPr>
        <w:t>при максимално натоварване</w:t>
      </w:r>
      <w:r w:rsidR="004A7900">
        <w:rPr>
          <w:rFonts w:ascii="Times New Roman" w:hAnsi="Times New Roman" w:cs="Times New Roman"/>
          <w:i/>
          <w:sz w:val="24"/>
          <w:szCs w:val="24"/>
        </w:rPr>
        <w:t xml:space="preserve"> на съоръжението</w:t>
      </w:r>
      <w:r w:rsidR="004A7900" w:rsidRPr="004A7900">
        <w:rPr>
          <w:rFonts w:ascii="Times New Roman" w:hAnsi="Times New Roman" w:cs="Times New Roman"/>
          <w:i/>
          <w:sz w:val="24"/>
          <w:szCs w:val="24"/>
        </w:rPr>
        <w:t>.</w:t>
      </w:r>
    </w:p>
    <w:p w:rsidR="006B7F89" w:rsidRPr="004A7900" w:rsidRDefault="006B7F89" w:rsidP="00A05A33">
      <w:pPr>
        <w:pStyle w:val="Default"/>
        <w:spacing w:after="120"/>
        <w:jc w:val="both"/>
      </w:pPr>
      <w:r w:rsidRPr="004A7900">
        <w:rPr>
          <w:color w:val="auto"/>
        </w:rPr>
        <w:t xml:space="preserve">Стойността се взима от </w:t>
      </w:r>
      <w:r w:rsidRPr="004A7900">
        <w:rPr>
          <w:b/>
          <w:bCs/>
          <w:i/>
          <w:iCs/>
          <w:color w:val="auto"/>
        </w:rPr>
        <w:t xml:space="preserve">Образец </w:t>
      </w:r>
      <w:r w:rsidR="001712FB" w:rsidRPr="004A7900">
        <w:rPr>
          <w:b/>
          <w:bCs/>
          <w:i/>
          <w:iCs/>
          <w:color w:val="auto"/>
        </w:rPr>
        <w:t>1</w:t>
      </w:r>
      <w:r w:rsidRPr="004A7900">
        <w:rPr>
          <w:b/>
          <w:bCs/>
          <w:i/>
          <w:iCs/>
          <w:color w:val="auto"/>
        </w:rPr>
        <w:t xml:space="preserve"> Техническо предложение </w:t>
      </w:r>
      <w:r w:rsidRPr="004A7900">
        <w:rPr>
          <w:color w:val="auto"/>
        </w:rPr>
        <w:t xml:space="preserve">като </w:t>
      </w:r>
      <w:r w:rsidR="00047AC6" w:rsidRPr="004A7900">
        <w:rPr>
          <w:color w:val="auto"/>
        </w:rPr>
        <w:t>се измерва в</w:t>
      </w:r>
      <w:r w:rsidRPr="004A7900">
        <w:rPr>
          <w:color w:val="auto"/>
        </w:rPr>
        <w:t xml:space="preserve"> „</w:t>
      </w:r>
      <w:r w:rsidRPr="004A7900">
        <w:rPr>
          <w:b/>
          <w:bCs/>
          <w:color w:val="auto"/>
        </w:rPr>
        <w:t>Разход за година квтч.</w:t>
      </w:r>
      <w:r w:rsidR="004A7900" w:rsidRPr="004A7900">
        <w:rPr>
          <w:i/>
        </w:rPr>
        <w:t xml:space="preserve"> </w:t>
      </w:r>
      <w:r w:rsidR="004A7900" w:rsidRPr="004A7900">
        <w:rPr>
          <w:i/>
        </w:rPr>
        <w:t>при максимално натоварване</w:t>
      </w:r>
      <w:r w:rsidR="004A7900" w:rsidRPr="004A7900">
        <w:rPr>
          <w:i/>
        </w:rPr>
        <w:t xml:space="preserve"> </w:t>
      </w:r>
      <w:r w:rsidR="004A7900" w:rsidRPr="004A7900">
        <w:rPr>
          <w:i/>
        </w:rPr>
        <w:t>на съор</w:t>
      </w:r>
      <w:r w:rsidR="004A7900" w:rsidRPr="004A7900">
        <w:rPr>
          <w:i/>
        </w:rPr>
        <w:t>ъжението</w:t>
      </w:r>
      <w:r w:rsidR="004A7900">
        <w:rPr>
          <w:i/>
        </w:rPr>
        <w:t>.</w:t>
      </w:r>
    </w:p>
    <w:p w:rsidR="006B7F89" w:rsidRPr="004A7900" w:rsidRDefault="006B7F89" w:rsidP="00A05A33">
      <w:pPr>
        <w:pStyle w:val="Default"/>
        <w:spacing w:after="120"/>
        <w:jc w:val="both"/>
      </w:pPr>
      <w:r w:rsidRPr="004A7900">
        <w:rPr>
          <w:color w:val="auto"/>
        </w:rPr>
        <w:t xml:space="preserve">Максимален брой точки </w:t>
      </w:r>
      <w:r w:rsidRPr="004A7900">
        <w:t xml:space="preserve">- </w:t>
      </w:r>
      <w:r w:rsidRPr="004A7900">
        <w:rPr>
          <w:b/>
          <w:bCs/>
        </w:rPr>
        <w:t xml:space="preserve">20 (двадесет), </w:t>
      </w:r>
      <w:r w:rsidRPr="004A7900">
        <w:t>получава Участникът, предложил най-ниска консумация на ел. енергия в киловатчаса/година</w:t>
      </w:r>
      <w:r w:rsidR="004A7900" w:rsidRPr="004A7900">
        <w:rPr>
          <w:i/>
        </w:rPr>
        <w:t xml:space="preserve"> </w:t>
      </w:r>
      <w:r w:rsidR="004A7900" w:rsidRPr="004A7900">
        <w:rPr>
          <w:i/>
        </w:rPr>
        <w:t>при максимално натоварване</w:t>
      </w:r>
      <w:r w:rsidR="004A7900" w:rsidRPr="004A7900">
        <w:rPr>
          <w:i/>
          <w:lang w:val="en-US"/>
        </w:rPr>
        <w:t xml:space="preserve"> </w:t>
      </w:r>
      <w:r w:rsidR="004A7900" w:rsidRPr="004A7900">
        <w:rPr>
          <w:i/>
        </w:rPr>
        <w:t>на съоръжението.</w:t>
      </w:r>
      <w:r w:rsidRPr="004A7900">
        <w:t xml:space="preserve"> </w:t>
      </w:r>
    </w:p>
    <w:p w:rsidR="006B7F89" w:rsidRPr="004A7900" w:rsidRDefault="006B7F89" w:rsidP="00A05A33">
      <w:pPr>
        <w:pStyle w:val="Default"/>
        <w:spacing w:after="120"/>
        <w:jc w:val="both"/>
      </w:pPr>
    </w:p>
    <w:p w:rsidR="006B7F89" w:rsidRPr="00745EF5" w:rsidRDefault="006B7F89" w:rsidP="00A05A33">
      <w:pPr>
        <w:pStyle w:val="Default"/>
        <w:numPr>
          <w:ilvl w:val="0"/>
          <w:numId w:val="2"/>
        </w:numPr>
        <w:spacing w:after="120"/>
        <w:jc w:val="both"/>
      </w:pPr>
      <w:r w:rsidRPr="00745EF5">
        <w:t xml:space="preserve">Подпоказател </w:t>
      </w:r>
      <w:r w:rsidRPr="00745EF5">
        <w:rPr>
          <w:b/>
          <w:bCs/>
        </w:rPr>
        <w:t xml:space="preserve">T3 - Организация на проектантската задача e </w:t>
      </w:r>
      <w:r w:rsidRPr="00745EF5">
        <w:t xml:space="preserve">с максимална стойност 10 (десет) точки; </w:t>
      </w:r>
    </w:p>
    <w:p w:rsidR="006B7F89" w:rsidRPr="00745EF5" w:rsidRDefault="006B7F89" w:rsidP="00A05A33">
      <w:pPr>
        <w:pStyle w:val="Default"/>
        <w:spacing w:after="120"/>
        <w:jc w:val="both"/>
      </w:pPr>
      <w:r w:rsidRPr="00745EF5">
        <w:t xml:space="preserve">Техническото предложение на Участника следва да обхваща всички дейности, необходими за изпълнението на проектирането и упражняването на авторски надзор, отчитайки спецификата на обекта и изискуемия съгласувателен и одобрителен режим. Всички дейности, следва да се представят в тяхната последователност и взаимна обвързаност, включително чрез определяне на тяхната продължителност. Когато участникът предлага паралелно изпълнение на две или повече дейности, с цел оптимизиране на ресурси и време за изпълнение, следва да представи каква е организацията на процесите, която предвижда, като се съобрази с нормативните условия за съгласуване и одобряване на инвестиционните проекти. Техническото предложение следва да отговаря на изискванията на Възложителя, посочени в техническата спецификация и указанията на действащото законодателство, на съществуващите нормативни изисквания и стандарти, и да е съобразено с предмета на поръчката и проектната документация. Следва да се представят предвижданите </w:t>
      </w:r>
      <w:r w:rsidRPr="00745EF5">
        <w:lastRenderedPageBreak/>
        <w:t xml:space="preserve">организация и мобилизация от участника, конкретни срокове за изпълнение на възложената работа, обвързани с конкретния подход за изпълнение на проектирането, съгласуването и одобряването на инвестиционните проекти, чрез представяне на линеен график. </w:t>
      </w:r>
    </w:p>
    <w:p w:rsidR="001C2152" w:rsidRPr="00745EF5" w:rsidRDefault="006B7F89" w:rsidP="00A05A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F5">
        <w:rPr>
          <w:rFonts w:ascii="Times New Roman" w:hAnsi="Times New Roman" w:cs="Times New Roman"/>
          <w:sz w:val="24"/>
          <w:szCs w:val="24"/>
        </w:rPr>
        <w:t>Скалата за оценка на Подпоказател Т3 е двустепенна- 5 и 10 точки, в съответствие с последователността и взаимната съгласуваност /обвързаност на предлаганите за изпълнение дейности, съгласно изискванията на Възложителя.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098F" w:rsidRPr="00745EF5" w:rsidTr="0018098F">
        <w:tc>
          <w:tcPr>
            <w:tcW w:w="3070" w:type="dxa"/>
          </w:tcPr>
          <w:p w:rsidR="0018098F" w:rsidRPr="00745EF5" w:rsidRDefault="0018098F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Подпоказател</w:t>
            </w:r>
          </w:p>
        </w:tc>
        <w:tc>
          <w:tcPr>
            <w:tcW w:w="3071" w:type="dxa"/>
          </w:tcPr>
          <w:p w:rsidR="0018098F" w:rsidRPr="00745EF5" w:rsidRDefault="0018098F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на оценка</w:t>
            </w:r>
          </w:p>
        </w:tc>
        <w:tc>
          <w:tcPr>
            <w:tcW w:w="3071" w:type="dxa"/>
          </w:tcPr>
          <w:p w:rsidR="0018098F" w:rsidRPr="00745EF5" w:rsidRDefault="0018098F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A05A33" w:rsidRPr="00745EF5" w:rsidTr="0018098F">
        <w:tc>
          <w:tcPr>
            <w:tcW w:w="3070" w:type="dxa"/>
          </w:tcPr>
          <w:p w:rsidR="00A05A33" w:rsidRPr="00745EF5" w:rsidRDefault="00745EF5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на проектант</w:t>
            </w:r>
            <w:r w:rsidR="00A05A33" w:rsidRPr="00745E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ската задача</w:t>
            </w:r>
          </w:p>
        </w:tc>
        <w:tc>
          <w:tcPr>
            <w:tcW w:w="3071" w:type="dxa"/>
            <w:vMerge w:val="restart"/>
          </w:tcPr>
          <w:p w:rsidR="00A05A33" w:rsidRPr="00745EF5" w:rsidRDefault="00A05A33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5">
              <w:rPr>
                <w:rFonts w:ascii="Times New Roman" w:hAnsi="Times New Roman" w:cs="Times New Roman"/>
                <w:sz w:val="24"/>
                <w:szCs w:val="24"/>
              </w:rPr>
              <w:t>По този подпоказател Комисията оценява последователността, взаимната обвързаност, продължителността на</w:t>
            </w:r>
            <w:r w:rsidR="0074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EF5">
              <w:rPr>
                <w:rFonts w:ascii="Times New Roman" w:hAnsi="Times New Roman" w:cs="Times New Roman"/>
                <w:sz w:val="24"/>
                <w:szCs w:val="24"/>
              </w:rPr>
              <w:t>проектирането и упражняването на авторски надзор, отчитайки спецификата на обекта и изискуемия съгласувателен и одобрителен режим. Преценява дали организацията на работа е максимално ефективна в рамките на заложените срокове за изпълнение. Ефективността се преценява и на база конкретно предприетите мерки, предвидени от участника за всяка дейност.</w:t>
            </w:r>
          </w:p>
        </w:tc>
        <w:tc>
          <w:tcPr>
            <w:tcW w:w="3071" w:type="dxa"/>
          </w:tcPr>
          <w:p w:rsidR="00A05A33" w:rsidRPr="00745EF5" w:rsidRDefault="00A05A33" w:rsidP="00745E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т. </w:t>
            </w:r>
            <w:r w:rsidRPr="00745EF5">
              <w:rPr>
                <w:rFonts w:ascii="Times New Roman" w:hAnsi="Times New Roman" w:cs="Times New Roman"/>
                <w:sz w:val="24"/>
                <w:szCs w:val="24"/>
              </w:rPr>
              <w:t>– Предложената организация на проектантската задача обхваща всички дейности от предмета на поръчката, но е ефективна само в</w:t>
            </w:r>
            <w:r w:rsidR="0074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F5" w:rsidRPr="00745EF5">
              <w:rPr>
                <w:rFonts w:ascii="Times New Roman" w:hAnsi="Times New Roman" w:cs="Times New Roman"/>
                <w:sz w:val="24"/>
                <w:szCs w:val="24"/>
              </w:rPr>
              <w:t xml:space="preserve"> отделни свои части или не са предприети мерки за осигуряване на максимална ефективност, обосновката на предложената организация на работа е недостатъчно ясно изразена и аргументирана</w:t>
            </w:r>
          </w:p>
        </w:tc>
      </w:tr>
      <w:tr w:rsidR="00A05A33" w:rsidRPr="00745EF5" w:rsidTr="0018098F">
        <w:tc>
          <w:tcPr>
            <w:tcW w:w="3070" w:type="dxa"/>
          </w:tcPr>
          <w:p w:rsidR="00A05A33" w:rsidRPr="00745EF5" w:rsidRDefault="00A05A33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A05A33" w:rsidRPr="00745EF5" w:rsidRDefault="00A05A33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5A33" w:rsidRPr="00745EF5" w:rsidRDefault="00A05A33" w:rsidP="00A05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5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  <w:r w:rsidRPr="00745EF5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Предложената организация на проектантската задача обхваща всички задачи и дейности - предмет на поръчката, разпределението е направено така, че да осигури максимална ефективност на работата и да осигури законосъобразността и качеството на проектирането и упражняването на авторски надзор.</w:t>
            </w:r>
          </w:p>
        </w:tc>
      </w:tr>
    </w:tbl>
    <w:p w:rsidR="00661AD2" w:rsidRPr="00745EF5" w:rsidRDefault="00661AD2" w:rsidP="00A05A3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F5">
        <w:rPr>
          <w:rFonts w:ascii="Times New Roman" w:hAnsi="Times New Roman" w:cs="Times New Roman"/>
          <w:sz w:val="24"/>
          <w:szCs w:val="24"/>
        </w:rPr>
        <w:t>Подпоказател</w:t>
      </w:r>
      <w:r w:rsidRPr="00745EF5">
        <w:rPr>
          <w:rFonts w:ascii="Times New Roman" w:hAnsi="Times New Roman" w:cs="Times New Roman"/>
          <w:b/>
          <w:sz w:val="24"/>
          <w:szCs w:val="24"/>
        </w:rPr>
        <w:t xml:space="preserve"> T4 </w:t>
      </w:r>
      <w:r w:rsidRPr="00745EF5">
        <w:rPr>
          <w:rFonts w:ascii="Times New Roman" w:hAnsi="Times New Roman" w:cs="Times New Roman"/>
          <w:sz w:val="24"/>
          <w:szCs w:val="24"/>
        </w:rPr>
        <w:t xml:space="preserve">- </w:t>
      </w:r>
      <w:r w:rsidRPr="00745EF5">
        <w:rPr>
          <w:rFonts w:ascii="Times New Roman" w:hAnsi="Times New Roman" w:cs="Times New Roman"/>
          <w:b/>
          <w:sz w:val="24"/>
          <w:szCs w:val="24"/>
        </w:rPr>
        <w:t>Организация на строителството и доставките на оборудване и съоръжения за ПСОВ с</w:t>
      </w:r>
      <w:r w:rsidRPr="00745EF5">
        <w:rPr>
          <w:rFonts w:ascii="Times New Roman" w:hAnsi="Times New Roman" w:cs="Times New Roman"/>
          <w:sz w:val="24"/>
          <w:szCs w:val="24"/>
        </w:rPr>
        <w:t xml:space="preserve"> максимална стойност 10 (десет) точки;</w:t>
      </w:r>
    </w:p>
    <w:p w:rsidR="00661AD2" w:rsidRPr="00745EF5" w:rsidRDefault="00661AD2" w:rsidP="00A05A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F5">
        <w:rPr>
          <w:rFonts w:ascii="Times New Roman" w:hAnsi="Times New Roman" w:cs="Times New Roman"/>
          <w:sz w:val="24"/>
          <w:szCs w:val="24"/>
        </w:rPr>
        <w:t>Техническото предложение на Участника следва да обхваща всички дейности, необходими за изпълнението на строително-монтажните работи, доставките на оборудване и съоръжения за ПСОВ</w:t>
      </w:r>
      <w:r w:rsidRPr="00745EF5">
        <w:rPr>
          <w:rFonts w:ascii="Times New Roman" w:hAnsi="Times New Roman" w:cs="Times New Roman"/>
          <w:sz w:val="24"/>
          <w:szCs w:val="24"/>
        </w:rPr>
        <w:t>, обученията и гаранционн</w:t>
      </w:r>
      <w:r w:rsidR="00F27C8D">
        <w:rPr>
          <w:rFonts w:ascii="Times New Roman" w:hAnsi="Times New Roman" w:cs="Times New Roman"/>
          <w:sz w:val="24"/>
          <w:szCs w:val="24"/>
        </w:rPr>
        <w:t>о</w:t>
      </w:r>
      <w:r w:rsidRPr="00745EF5">
        <w:rPr>
          <w:rFonts w:ascii="Times New Roman" w:hAnsi="Times New Roman" w:cs="Times New Roman"/>
          <w:sz w:val="24"/>
          <w:szCs w:val="24"/>
        </w:rPr>
        <w:t xml:space="preserve"> </w:t>
      </w:r>
      <w:r w:rsidR="00F27C8D">
        <w:rPr>
          <w:rFonts w:ascii="Times New Roman" w:hAnsi="Times New Roman" w:cs="Times New Roman"/>
          <w:sz w:val="24"/>
          <w:szCs w:val="24"/>
        </w:rPr>
        <w:t>поддържане</w:t>
      </w:r>
      <w:r w:rsidRPr="00745EF5">
        <w:rPr>
          <w:rFonts w:ascii="Times New Roman" w:hAnsi="Times New Roman" w:cs="Times New Roman"/>
          <w:sz w:val="24"/>
          <w:szCs w:val="24"/>
        </w:rPr>
        <w:t>, отчитайки спецификата и местоположението на обекта, необходимостта от подготвителни дейности, атмосферните условия, изпълнение на СМР при работеща станция и др. Всички строително-монтажни дейности и доставки</w:t>
      </w:r>
      <w:r w:rsidRPr="00745EF5">
        <w:rPr>
          <w:rFonts w:ascii="Times New Roman" w:hAnsi="Times New Roman" w:cs="Times New Roman"/>
          <w:sz w:val="24"/>
          <w:szCs w:val="24"/>
        </w:rPr>
        <w:t xml:space="preserve">, следва да се представят в тяхната технологична последователност и взаимна обвързаност, включително чрез определяне на тяхната продължителност. Когато участникът предлага паралелно изпълнение на две или повече дейности, с цел оптимизиране на ресурси и време за изпълнение, следва да </w:t>
      </w:r>
      <w:r w:rsidRPr="00745EF5">
        <w:rPr>
          <w:rFonts w:ascii="Times New Roman" w:hAnsi="Times New Roman" w:cs="Times New Roman"/>
          <w:sz w:val="24"/>
          <w:szCs w:val="24"/>
        </w:rPr>
        <w:lastRenderedPageBreak/>
        <w:t>представи каква организация на процесите, оборудването и работната ръка предвижда, като се съобрази с нормативните и технологичните условия за съответните видове СМР. Техническото предложение следва да отговаря на изискванията на Възложителя, посочени в техническата документация на обекта и указанията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Следва да се представят предвижданите организация и мобилизация на използваните от участника материални и човешки ресурси, конкретни срокове за изпълнение на възложената работа, обвързани с конкретния подход за изпълнение на предмета на поръчката, чрез представяне на линеен график и диаграма на работната ръка.</w:t>
      </w:r>
    </w:p>
    <w:p w:rsidR="00661AD2" w:rsidRPr="00745EF5" w:rsidRDefault="00661AD2" w:rsidP="00A05A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F5">
        <w:rPr>
          <w:rFonts w:ascii="Times New Roman" w:hAnsi="Times New Roman" w:cs="Times New Roman"/>
          <w:sz w:val="24"/>
          <w:szCs w:val="24"/>
        </w:rPr>
        <w:t>Скалата за оценка на Подпоказател Т4 е двустепенна- 5 и 10 точки, в съответствие</w:t>
      </w:r>
      <w:r w:rsidR="007B7341" w:rsidRPr="00745EF5">
        <w:rPr>
          <w:rFonts w:ascii="Times New Roman" w:hAnsi="Times New Roman" w:cs="Times New Roman"/>
          <w:sz w:val="24"/>
          <w:szCs w:val="24"/>
        </w:rPr>
        <w:t xml:space="preserve"> с последователността и взаимната съгласуваност /обвързаност на предлаганите за изпълнение дейности, съгласно изискванията на Възложителя.</w:t>
      </w:r>
    </w:p>
    <w:tbl>
      <w:tblPr>
        <w:tblW w:w="109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4E3E55" w:rsidRPr="00745EF5" w:rsidTr="004E3E55">
        <w:trPr>
          <w:trHeight w:val="2033"/>
        </w:trPr>
        <w:tc>
          <w:tcPr>
            <w:tcW w:w="10970" w:type="dxa"/>
          </w:tcPr>
          <w:p w:rsidR="004E3E55" w:rsidRPr="00745EF5" w:rsidRDefault="004E3E55" w:rsidP="00A05A33">
            <w:pPr>
              <w:pStyle w:val="Default"/>
              <w:spacing w:after="120"/>
              <w:jc w:val="both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969"/>
              <w:gridCol w:w="3402"/>
            </w:tblGrid>
            <w:tr w:rsidR="004E3E55" w:rsidRPr="00745EF5" w:rsidTr="00A05A33">
              <w:tc>
                <w:tcPr>
                  <w:tcW w:w="1838" w:type="dxa"/>
                </w:tcPr>
                <w:p w:rsidR="004E3E55" w:rsidRPr="00745EF5" w:rsidRDefault="004E3E55" w:rsidP="00A05A33">
                  <w:pPr>
                    <w:pStyle w:val="Default"/>
                    <w:spacing w:after="120"/>
                    <w:jc w:val="both"/>
                    <w:rPr>
                      <w:b/>
                    </w:rPr>
                  </w:pPr>
                  <w:r w:rsidRPr="00745EF5">
                    <w:rPr>
                      <w:b/>
                    </w:rPr>
                    <w:t>Подпоказател</w:t>
                  </w:r>
                </w:p>
              </w:tc>
              <w:tc>
                <w:tcPr>
                  <w:tcW w:w="3969" w:type="dxa"/>
                </w:tcPr>
                <w:p w:rsidR="004E3E55" w:rsidRPr="00745EF5" w:rsidRDefault="004E3E55" w:rsidP="00A05A33">
                  <w:pPr>
                    <w:pStyle w:val="Default"/>
                    <w:spacing w:after="120"/>
                    <w:jc w:val="both"/>
                  </w:pPr>
                  <w:r w:rsidRPr="00745EF5">
                    <w:rPr>
                      <w:b/>
                      <w:bCs/>
                    </w:rPr>
                    <w:t>Начин на оценка</w:t>
                  </w:r>
                </w:p>
              </w:tc>
              <w:tc>
                <w:tcPr>
                  <w:tcW w:w="3402" w:type="dxa"/>
                </w:tcPr>
                <w:p w:rsidR="004E3E55" w:rsidRPr="00745EF5" w:rsidRDefault="004E3E55" w:rsidP="00A05A33">
                  <w:pPr>
                    <w:pStyle w:val="Default"/>
                    <w:spacing w:after="120"/>
                    <w:jc w:val="both"/>
                  </w:pPr>
                  <w:r w:rsidRPr="00745EF5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A05A33" w:rsidRPr="00745EF5" w:rsidTr="00A05A33">
              <w:tc>
                <w:tcPr>
                  <w:tcW w:w="1838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</w:pPr>
                  <w:r w:rsidRPr="00745EF5">
                    <w:rPr>
                      <w:b/>
                      <w:bCs/>
                      <w:i/>
                      <w:iCs/>
                    </w:rPr>
                    <w:t>Организация на строителст-вото и доставките на оборудване и съоръжения за ПСОВ</w:t>
                  </w:r>
                </w:p>
              </w:tc>
              <w:tc>
                <w:tcPr>
                  <w:tcW w:w="3969" w:type="dxa"/>
                  <w:vMerge w:val="restart"/>
                </w:tcPr>
                <w:p w:rsidR="00A05A33" w:rsidRPr="00745EF5" w:rsidRDefault="00A05A33" w:rsidP="00F27C8D">
                  <w:pPr>
                    <w:pStyle w:val="Default"/>
                    <w:spacing w:after="120"/>
                    <w:jc w:val="both"/>
                  </w:pPr>
                  <w:r w:rsidRPr="00745EF5">
                    <w:t xml:space="preserve">По този подпоказател Комисията оценява последователността, взаимната обвързаност, продължителността на организацията на работата при </w:t>
                  </w:r>
                  <w:r w:rsidRPr="00745EF5">
                    <w:t>реализиране предмета на поръчката (строително-монтажни работи, доставка на оборудване и съоръжения за ПСОВ, обучения и гаранционн</w:t>
                  </w:r>
                  <w:r w:rsidR="00F27C8D">
                    <w:t>о</w:t>
                  </w:r>
                  <w:r w:rsidR="004A7900">
                    <w:t xml:space="preserve"> </w:t>
                  </w:r>
                  <w:r w:rsidR="00F27C8D">
                    <w:t>поддържане</w:t>
                  </w:r>
                  <w:r w:rsidRPr="00745EF5">
                    <w:t xml:space="preserve">), отчитайки спецификата и местоположението на обекта, необходимостта от подготвителни дейности, атмосферните условия и изпълнение на СМР при работеща станция, техническата обезпеченост на екипите със съответната механизация, оборудване и техника, заедно с подробно описание за всяко едно от тях, като се гарантира </w:t>
                  </w:r>
                  <w:r w:rsidRPr="00745EF5">
                    <w:t>оптимална времева ангажираност при изпълнението на дейностите. Преценява дали организацията на работа е максимално ефективна в рамките на заложените срокове за изпълнение. Ефективността се преценява и на база конкретно предприетите мерки, предвидени от участника за всяка дейност</w:t>
                  </w:r>
                </w:p>
              </w:tc>
              <w:tc>
                <w:tcPr>
                  <w:tcW w:w="3402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</w:pPr>
                  <w:r w:rsidRPr="00745EF5">
                    <w:rPr>
                      <w:b/>
                      <w:bCs/>
                    </w:rPr>
                    <w:t xml:space="preserve">5 т. – </w:t>
                  </w:r>
                  <w:r w:rsidRPr="00745EF5">
                    <w:t>Предложената организация на строителството и доставките на оборудване и съоръжения за ПСОВ обхваща всички дейности от предмета на поръчката, но е ефективна само в отделни свои части или не са предприети мерки за осигуряване на максимална ефективност, обосновката на предложената организация на работа е недостатъчно ясно изразена и аргументирана</w:t>
                  </w:r>
                </w:p>
              </w:tc>
            </w:tr>
            <w:tr w:rsidR="00A05A33" w:rsidRPr="00745EF5" w:rsidTr="00A05A33">
              <w:tc>
                <w:tcPr>
                  <w:tcW w:w="1838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</w:pPr>
                </w:p>
              </w:tc>
              <w:tc>
                <w:tcPr>
                  <w:tcW w:w="3969" w:type="dxa"/>
                  <w:vMerge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</w:pPr>
                </w:p>
              </w:tc>
              <w:tc>
                <w:tcPr>
                  <w:tcW w:w="3402" w:type="dxa"/>
                </w:tcPr>
                <w:p w:rsidR="00A05A33" w:rsidRPr="00745EF5" w:rsidRDefault="00A05A33" w:rsidP="00A05A33">
                  <w:pPr>
                    <w:pStyle w:val="Default"/>
                    <w:spacing w:after="120"/>
                    <w:jc w:val="both"/>
                  </w:pPr>
                  <w:r w:rsidRPr="00745EF5">
                    <w:rPr>
                      <w:b/>
                      <w:bCs/>
                    </w:rPr>
                    <w:t xml:space="preserve">10 т. – </w:t>
                  </w:r>
                  <w:r w:rsidRPr="00745EF5">
                    <w:t>Предложената организация на строителството и доставките на оборудване и съоръжения за ПСОВ обхваща всички задачи и дейности- предмет на поръчката, всяка от тях е напълно обезпечена от страна на работна ръка, времеви ресурс и технически възможности, разпределението е направено така, че да осигури максимална ефективност на работата и да осигури законосъобразността и качеството на строителството и доставките на оборудване и съоръжения за ПСОВ</w:t>
                  </w:r>
                  <w:r w:rsidRPr="00745EF5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4E3E55" w:rsidRPr="00745EF5" w:rsidRDefault="004E3E55" w:rsidP="00A05A33">
            <w:pPr>
              <w:pStyle w:val="Default"/>
              <w:spacing w:after="120"/>
              <w:jc w:val="both"/>
            </w:pPr>
          </w:p>
        </w:tc>
      </w:tr>
    </w:tbl>
    <w:p w:rsidR="004E3E55" w:rsidRDefault="004E3E55" w:rsidP="00A05A33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5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Предложения относно последователността, взаимообвързаността и продължителността на предлаганите дейности, които не отговарят на изискванията на възложителя и проектната документация, действащото законодателство, техническите изисквания и стандарти</w:t>
      </w:r>
      <w:r w:rsidR="0065496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745EF5">
        <w:rPr>
          <w:rFonts w:ascii="Times New Roman" w:hAnsi="Times New Roman" w:cs="Times New Roman"/>
          <w:i/>
          <w:iCs/>
          <w:sz w:val="24"/>
          <w:szCs w:val="24"/>
        </w:rPr>
        <w:t xml:space="preserve"> и при които предложената организация, подход на изпълнение и мобилизация на използваните ресурси не съответстват на конкретния предмет на поръчката и заложения срок на изпълнение, ще бъдат предложени за отстраняване.</w:t>
      </w:r>
    </w:p>
    <w:p w:rsidR="006F7DCA" w:rsidRPr="006F7DCA" w:rsidRDefault="006F7DCA" w:rsidP="006F7D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CA" w:rsidRPr="006F7DCA" w:rsidRDefault="006F7DCA" w:rsidP="006F7DC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DC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*Забележка:</w:t>
      </w:r>
      <w:r w:rsidRPr="006F7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DCA">
        <w:rPr>
          <w:rFonts w:ascii="Times New Roman" w:hAnsi="Times New Roman" w:cs="Times New Roman"/>
          <w:b/>
          <w:i/>
          <w:sz w:val="24"/>
          <w:szCs w:val="24"/>
        </w:rPr>
        <w:t>„Ясно”</w:t>
      </w:r>
      <w:r w:rsidRPr="006F7DCA">
        <w:rPr>
          <w:rFonts w:ascii="Times New Roman" w:hAnsi="Times New Roman" w:cs="Times New Roman"/>
          <w:i/>
          <w:sz w:val="24"/>
          <w:szCs w:val="24"/>
        </w:rPr>
        <w:t xml:space="preserve"> – описание, което съдържа недвусмислено посочени конкретен вид технология, работи и дейности по начин, по който същите да бъдат индивидуализирани сред останалите видове дейности.</w:t>
      </w:r>
    </w:p>
    <w:p w:rsidR="006F7DCA" w:rsidRPr="006F7DCA" w:rsidRDefault="006F7DCA" w:rsidP="006F7DC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DC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*Забележка:</w:t>
      </w:r>
      <w:r w:rsidRPr="006F7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DCA">
        <w:rPr>
          <w:rFonts w:ascii="Times New Roman" w:hAnsi="Times New Roman" w:cs="Times New Roman"/>
          <w:b/>
          <w:i/>
          <w:sz w:val="24"/>
          <w:szCs w:val="24"/>
        </w:rPr>
        <w:t>„Подробно”</w:t>
      </w:r>
      <w:r w:rsidRPr="006F7DCA">
        <w:rPr>
          <w:rFonts w:ascii="Times New Roman" w:hAnsi="Times New Roman" w:cs="Times New Roman"/>
          <w:i/>
          <w:sz w:val="24"/>
          <w:szCs w:val="24"/>
        </w:rPr>
        <w:t xml:space="preserve"> – описание, което освен че съдържа недвусмислено посочени конкретен вид технология, работи и дейности, не се ограничава в тяхното просто изброяване, а са добавени допълнителни поясняващи текстове и мотиви, свързани с обясняване на последователността, технологията или други факти, имащи отношение към повишаване качеството на изпълняваните СМР дейности и надграждане над предвидените в документацията за участие и/или в съществуващите стандарти и технически спецификации.</w:t>
      </w:r>
    </w:p>
    <w:p w:rsidR="006F7DCA" w:rsidRPr="00745EF5" w:rsidRDefault="006F7DCA" w:rsidP="00A05A33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E55" w:rsidRPr="00745EF5" w:rsidRDefault="004E3E55" w:rsidP="00A05A33">
      <w:pPr>
        <w:pStyle w:val="Default"/>
        <w:spacing w:after="120"/>
        <w:jc w:val="both"/>
        <w:rPr>
          <w:b/>
          <w:u w:val="single"/>
        </w:rPr>
      </w:pPr>
      <w:r w:rsidRPr="00745EF5">
        <w:rPr>
          <w:b/>
          <w:bCs/>
          <w:u w:val="single"/>
        </w:rPr>
        <w:t xml:space="preserve">(2) </w:t>
      </w:r>
      <w:r w:rsidRPr="00745EF5">
        <w:rPr>
          <w:b/>
          <w:u w:val="single"/>
        </w:rPr>
        <w:t xml:space="preserve">Показател </w:t>
      </w:r>
      <w:r w:rsidRPr="00745EF5">
        <w:rPr>
          <w:b/>
          <w:bCs/>
          <w:u w:val="single"/>
        </w:rPr>
        <w:t xml:space="preserve">ОЦ е Оценка на ценовото предложение на участника </w:t>
      </w:r>
      <w:r w:rsidRPr="00745EF5">
        <w:rPr>
          <w:b/>
          <w:u w:val="single"/>
        </w:rPr>
        <w:t xml:space="preserve">е с максимална стойност 40 (четиридесет) точки; </w:t>
      </w:r>
    </w:p>
    <w:p w:rsidR="004E3E55" w:rsidRPr="00745EF5" w:rsidRDefault="004E3E55" w:rsidP="00A05A33">
      <w:pPr>
        <w:pStyle w:val="Default"/>
        <w:spacing w:after="120"/>
        <w:jc w:val="both"/>
      </w:pPr>
      <w:r w:rsidRPr="00745EF5">
        <w:rPr>
          <w:b/>
          <w:bCs/>
        </w:rPr>
        <w:t xml:space="preserve">ОЦ е Оценка на ценовото предложение на участника. </w:t>
      </w:r>
    </w:p>
    <w:p w:rsidR="004E3E55" w:rsidRPr="00745EF5" w:rsidRDefault="004E3E55" w:rsidP="00A05A33">
      <w:pPr>
        <w:pStyle w:val="Default"/>
        <w:spacing w:after="120"/>
        <w:jc w:val="both"/>
      </w:pPr>
      <w:r w:rsidRPr="00745EF5">
        <w:t xml:space="preserve">По показател „Оценка на ценовото предложение на участника" (ОЦ) максималният брой точки, който може да получи всеки участник е 40. Максималният брой точки /40 точки/ по този показател получава офертата с предлагана </w:t>
      </w:r>
      <w:r w:rsidRPr="00931ED3">
        <w:rPr>
          <w:b/>
        </w:rPr>
        <w:t xml:space="preserve">най- ниска </w:t>
      </w:r>
      <w:r w:rsidR="006F7DCA" w:rsidRPr="00931ED3">
        <w:rPr>
          <w:b/>
        </w:rPr>
        <w:t xml:space="preserve">обща </w:t>
      </w:r>
      <w:r w:rsidRPr="00931ED3">
        <w:rPr>
          <w:b/>
        </w:rPr>
        <w:t>цена.</w:t>
      </w:r>
      <w:r w:rsidRPr="00745EF5">
        <w:t xml:space="preserve"> Точките на останалите участници се определят в съотношение към най- ниската предложена цена по следната формула: </w:t>
      </w:r>
    </w:p>
    <w:p w:rsidR="004E3E55" w:rsidRPr="00745EF5" w:rsidRDefault="004E3E55" w:rsidP="00A05A33">
      <w:pPr>
        <w:pStyle w:val="Default"/>
        <w:spacing w:after="120"/>
        <w:ind w:firstLine="708"/>
        <w:jc w:val="both"/>
      </w:pPr>
      <w:r w:rsidRPr="00745EF5">
        <w:t xml:space="preserve">Pmin </w:t>
      </w:r>
    </w:p>
    <w:p w:rsidR="004E3E55" w:rsidRPr="00745EF5" w:rsidRDefault="004E3E55" w:rsidP="00A05A33">
      <w:pPr>
        <w:pStyle w:val="Default"/>
        <w:spacing w:after="120"/>
        <w:jc w:val="both"/>
      </w:pPr>
      <w:r w:rsidRPr="00745EF5">
        <w:t xml:space="preserve">ОЦ=-------------- х 40, където </w:t>
      </w:r>
    </w:p>
    <w:p w:rsidR="004E3E55" w:rsidRPr="00745EF5" w:rsidRDefault="004E3E55" w:rsidP="00A05A33">
      <w:pPr>
        <w:pStyle w:val="Default"/>
        <w:spacing w:after="120"/>
        <w:ind w:firstLine="708"/>
        <w:jc w:val="both"/>
      </w:pPr>
      <w:r w:rsidRPr="00745EF5">
        <w:t xml:space="preserve">Pn </w:t>
      </w:r>
    </w:p>
    <w:p w:rsidR="004E3E55" w:rsidRPr="00745EF5" w:rsidRDefault="004E3E55" w:rsidP="00A05A33">
      <w:pPr>
        <w:pStyle w:val="Default"/>
        <w:spacing w:after="120"/>
        <w:jc w:val="both"/>
      </w:pPr>
      <w:r w:rsidRPr="00745EF5">
        <w:t xml:space="preserve">„40” е тежестта на показателя; </w:t>
      </w:r>
    </w:p>
    <w:p w:rsidR="004E3E55" w:rsidRPr="00745EF5" w:rsidRDefault="004E3E55" w:rsidP="00A05A33">
      <w:pPr>
        <w:pStyle w:val="Default"/>
        <w:spacing w:after="120"/>
        <w:jc w:val="both"/>
      </w:pPr>
      <w:r w:rsidRPr="00745EF5">
        <w:t>Рn- цената, пре</w:t>
      </w:r>
      <w:r w:rsidR="00AD4DEF">
        <w:t>дложена от съответния участник;</w:t>
      </w:r>
    </w:p>
    <w:p w:rsidR="004E3E55" w:rsidRPr="00745EF5" w:rsidRDefault="004E3E55" w:rsidP="00A05A33">
      <w:pPr>
        <w:pStyle w:val="Default"/>
        <w:spacing w:after="120"/>
        <w:jc w:val="both"/>
      </w:pPr>
      <w:r w:rsidRPr="00745EF5">
        <w:t xml:space="preserve">Pmin - предложената минимална цена. </w:t>
      </w:r>
    </w:p>
    <w:p w:rsidR="004E3E55" w:rsidRPr="00745EF5" w:rsidRDefault="00B10F07" w:rsidP="00A05A33">
      <w:pPr>
        <w:pStyle w:val="Default"/>
        <w:spacing w:after="120"/>
        <w:jc w:val="both"/>
        <w:rPr>
          <w:i/>
          <w:iCs/>
          <w:color w:val="auto"/>
        </w:rPr>
      </w:pPr>
      <w:r w:rsidRPr="00745EF5">
        <w:rPr>
          <w:rFonts w:eastAsia="Calibri"/>
          <w:b/>
          <w:i/>
          <w:color w:val="auto"/>
          <w:u w:val="single"/>
          <w:lang w:eastAsia="ar-SA"/>
        </w:rPr>
        <w:t>*Забележка:</w:t>
      </w:r>
      <w:r w:rsidRPr="00745EF5">
        <w:rPr>
          <w:color w:val="auto"/>
        </w:rPr>
        <w:t xml:space="preserve"> </w:t>
      </w:r>
      <w:r w:rsidR="004E3E55" w:rsidRPr="00745EF5">
        <w:rPr>
          <w:i/>
          <w:iCs/>
          <w:color w:val="auto"/>
        </w:rPr>
        <w:t xml:space="preserve">Към оценка на ценовите предложения се пристъпва след като се извърши проверка и се установи, че са подготвени и представени в съответствие с изискванията на документацията за участие в процедурата. От участие в процедурата се отстранява участник, при който бъдат установени аритметични грешки, непълноти и/или несъответствия в ценовото предложение. </w:t>
      </w:r>
    </w:p>
    <w:p w:rsidR="00735024" w:rsidRPr="00745EF5" w:rsidRDefault="00735024" w:rsidP="00735024">
      <w:pPr>
        <w:pStyle w:val="Heading2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745EF5">
        <w:rPr>
          <w:rFonts w:ascii="Times New Roman" w:hAnsi="Times New Roman"/>
          <w:sz w:val="24"/>
          <w:szCs w:val="24"/>
          <w:u w:val="single"/>
          <w:lang w:val="bg-BG"/>
        </w:rPr>
        <w:t>*Забележка:</w:t>
      </w:r>
      <w:r w:rsidRPr="00745E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45EF5">
        <w:rPr>
          <w:rFonts w:ascii="Times New Roman" w:hAnsi="Times New Roman"/>
          <w:b w:val="0"/>
          <w:sz w:val="24"/>
          <w:szCs w:val="24"/>
          <w:lang w:val="bg-BG"/>
        </w:rPr>
        <w:t xml:space="preserve">При различия между стойностите, изразени с цифри и думи, за вярно се приема словесното изражение на стойностите; </w:t>
      </w:r>
    </w:p>
    <w:p w:rsidR="00735024" w:rsidRPr="00745EF5" w:rsidRDefault="00735024" w:rsidP="00735024">
      <w:pPr>
        <w:pStyle w:val="Normal1"/>
        <w:spacing w:after="120"/>
        <w:jc w:val="both"/>
        <w:rPr>
          <w:rFonts w:ascii="Times New Roman" w:eastAsia="Times New Roman" w:hAnsi="Times New Roman" w:cs="Times New Roman"/>
          <w:bCs/>
          <w:i/>
          <w:iCs/>
          <w:lang w:val="bg-BG" w:eastAsia="bg-BG"/>
        </w:rPr>
      </w:pPr>
      <w:r w:rsidRPr="00745EF5">
        <w:rPr>
          <w:rFonts w:ascii="Times New Roman" w:hAnsi="Times New Roman" w:cs="Times New Roman"/>
          <w:b/>
          <w:i/>
          <w:u w:val="single"/>
          <w:lang w:val="bg-BG"/>
        </w:rPr>
        <w:t>*Забележка:</w:t>
      </w:r>
      <w:r w:rsidRPr="00745EF5">
        <w:rPr>
          <w:rFonts w:ascii="Times New Roman" w:hAnsi="Times New Roman" w:cs="Times New Roman"/>
          <w:i/>
          <w:lang w:val="bg-BG"/>
        </w:rPr>
        <w:t xml:space="preserve"> </w:t>
      </w:r>
      <w:r w:rsidRPr="00745EF5">
        <w:rPr>
          <w:rFonts w:ascii="Times New Roman" w:eastAsia="Times New Roman" w:hAnsi="Times New Roman" w:cs="Times New Roman"/>
          <w:bCs/>
          <w:i/>
          <w:iCs/>
          <w:lang w:val="bg-BG" w:eastAsia="bg-BG"/>
        </w:rPr>
        <w:t>Ценовото предложение следва да бъде изготвено съгласно Образец №2.</w:t>
      </w:r>
    </w:p>
    <w:p w:rsidR="00181D84" w:rsidRDefault="00181D84" w:rsidP="00181D84">
      <w:pPr>
        <w:pStyle w:val="Heading2"/>
        <w:numPr>
          <w:ilvl w:val="0"/>
          <w:numId w:val="0"/>
        </w:numPr>
        <w:autoSpaceDE w:val="0"/>
        <w:autoSpaceDN w:val="0"/>
        <w:adjustRightInd w:val="0"/>
        <w:spacing w:before="0" w:after="120" w:line="240" w:lineRule="auto"/>
        <w:ind w:left="2736" w:hanging="936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</w:p>
    <w:p w:rsidR="00735024" w:rsidRPr="00745EF5" w:rsidRDefault="00735024" w:rsidP="0029769F">
      <w:pPr>
        <w:pStyle w:val="Heading2"/>
        <w:numPr>
          <w:ilvl w:val="0"/>
          <w:numId w:val="1"/>
        </w:numPr>
        <w:autoSpaceDE w:val="0"/>
        <w:autoSpaceDN w:val="0"/>
        <w:adjustRightInd w:val="0"/>
        <w:spacing w:before="0" w:after="12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745EF5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Максималната възможна комплексна оценка </w:t>
      </w:r>
      <w:r w:rsidRPr="00745EF5">
        <w:rPr>
          <w:rFonts w:ascii="Times New Roman" w:hAnsi="Times New Roman"/>
          <w:i w:val="0"/>
          <w:sz w:val="24"/>
          <w:szCs w:val="24"/>
          <w:lang w:val="bg-BG"/>
        </w:rPr>
        <w:t>е 100 точки</w:t>
      </w:r>
      <w:r w:rsidRPr="00745EF5">
        <w:rPr>
          <w:rFonts w:ascii="Times New Roman" w:hAnsi="Times New Roman"/>
          <w:b w:val="0"/>
          <w:i w:val="0"/>
          <w:sz w:val="24"/>
          <w:szCs w:val="24"/>
          <w:lang w:val="bg-BG"/>
        </w:rPr>
        <w:t>. Участникът, чиято оферта е получила най-висока комплексна оценка, се класира на първо място, а останалите следват в низходящ ред, съгласно съответната им комплексна оценка.</w:t>
      </w:r>
    </w:p>
    <w:p w:rsidR="004E3E55" w:rsidRPr="00745EF5" w:rsidRDefault="004E3E55" w:rsidP="0029769F">
      <w:pPr>
        <w:pStyle w:val="Default"/>
        <w:numPr>
          <w:ilvl w:val="0"/>
          <w:numId w:val="1"/>
        </w:numPr>
        <w:spacing w:after="120"/>
        <w:ind w:left="0" w:firstLine="360"/>
        <w:jc w:val="both"/>
        <w:rPr>
          <w:color w:val="auto"/>
        </w:rPr>
      </w:pPr>
      <w:r w:rsidRPr="00745EF5">
        <w:rPr>
          <w:color w:val="auto"/>
        </w:rPr>
        <w:t xml:space="preserve">В случай, че комплексните оценки на две или повече оферти са равни, с предимство се класира офертата, в която се съдържат по- изгодни предложения, преценени в следния ред: </w:t>
      </w:r>
    </w:p>
    <w:p w:rsidR="004E3E55" w:rsidRPr="00745EF5" w:rsidRDefault="004E3E55" w:rsidP="0029769F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745EF5">
        <w:rPr>
          <w:color w:val="auto"/>
        </w:rPr>
        <w:t xml:space="preserve">по-ниска предложена цена; </w:t>
      </w:r>
    </w:p>
    <w:p w:rsidR="00B10F07" w:rsidRPr="00745EF5" w:rsidRDefault="004E3E55" w:rsidP="0029769F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745EF5">
        <w:rPr>
          <w:color w:val="auto"/>
        </w:rPr>
        <w:t>по-изгодно предложение по показатели извън предложена цена сравнени в низходящ ред съобразно тяхната тежест.</w:t>
      </w:r>
    </w:p>
    <w:p w:rsidR="00735024" w:rsidRPr="00745EF5" w:rsidRDefault="00735024" w:rsidP="0029769F">
      <w:pPr>
        <w:pStyle w:val="Heading2"/>
        <w:numPr>
          <w:ilvl w:val="0"/>
          <w:numId w:val="1"/>
        </w:numPr>
        <w:autoSpaceDE w:val="0"/>
        <w:autoSpaceDN w:val="0"/>
        <w:adjustRightInd w:val="0"/>
        <w:spacing w:before="0" w:after="12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745EF5">
        <w:rPr>
          <w:rFonts w:ascii="Times New Roman" w:hAnsi="Times New Roman"/>
          <w:b w:val="0"/>
          <w:i w:val="0"/>
          <w:sz w:val="24"/>
          <w:szCs w:val="24"/>
          <w:lang w:val="bg-BG"/>
        </w:rPr>
        <w:t>В случай, че полученият резултат от оценката на две или повече оферти са равни, комисията прилага разпоредбите на чл. 58 от ППЗОП.</w:t>
      </w:r>
    </w:p>
    <w:sectPr w:rsidR="00735024" w:rsidRPr="00745EF5" w:rsidSect="00B10F07">
      <w:footerReference w:type="default" r:id="rId8"/>
      <w:pgSz w:w="11906" w:h="16838"/>
      <w:pgMar w:top="1417" w:right="1417" w:bottom="1135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43" w:rsidRDefault="00162A43" w:rsidP="00B10F07">
      <w:pPr>
        <w:spacing w:after="0" w:line="240" w:lineRule="auto"/>
      </w:pPr>
      <w:r>
        <w:separator/>
      </w:r>
    </w:p>
  </w:endnote>
  <w:endnote w:type="continuationSeparator" w:id="0">
    <w:p w:rsidR="00162A43" w:rsidRDefault="00162A43" w:rsidP="00B1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85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F07" w:rsidRDefault="00B10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F07" w:rsidRDefault="00B1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43" w:rsidRDefault="00162A43" w:rsidP="00B10F07">
      <w:pPr>
        <w:spacing w:after="0" w:line="240" w:lineRule="auto"/>
      </w:pPr>
      <w:r>
        <w:separator/>
      </w:r>
    </w:p>
  </w:footnote>
  <w:footnote w:type="continuationSeparator" w:id="0">
    <w:p w:rsidR="00162A43" w:rsidRDefault="00162A43" w:rsidP="00B1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6694B98"/>
    <w:multiLevelType w:val="hybridMultilevel"/>
    <w:tmpl w:val="64661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5744"/>
    <w:multiLevelType w:val="hybridMultilevel"/>
    <w:tmpl w:val="1ADE1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3611E"/>
    <w:multiLevelType w:val="hybridMultilevel"/>
    <w:tmpl w:val="F1D2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402E"/>
    <w:multiLevelType w:val="hybridMultilevel"/>
    <w:tmpl w:val="E55C8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35000"/>
    <w:multiLevelType w:val="hybridMultilevel"/>
    <w:tmpl w:val="F1D2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C8B"/>
    <w:multiLevelType w:val="multilevel"/>
    <w:tmpl w:val="5D9A6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bullet"/>
      <w:lvlText w:val=""/>
      <w:lvlJc w:val="left"/>
      <w:pPr>
        <w:ind w:left="1497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7DDC40CE"/>
    <w:multiLevelType w:val="hybridMultilevel"/>
    <w:tmpl w:val="F1D2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52"/>
    <w:rsid w:val="00047AC6"/>
    <w:rsid w:val="001234C9"/>
    <w:rsid w:val="00162A43"/>
    <w:rsid w:val="001712FB"/>
    <w:rsid w:val="0018098F"/>
    <w:rsid w:val="00181D84"/>
    <w:rsid w:val="001C2152"/>
    <w:rsid w:val="001D2C71"/>
    <w:rsid w:val="00235B93"/>
    <w:rsid w:val="00285BB9"/>
    <w:rsid w:val="0029769F"/>
    <w:rsid w:val="002D2CF9"/>
    <w:rsid w:val="003041C5"/>
    <w:rsid w:val="00415971"/>
    <w:rsid w:val="00447EF5"/>
    <w:rsid w:val="00481DFA"/>
    <w:rsid w:val="004A7900"/>
    <w:rsid w:val="004E3E55"/>
    <w:rsid w:val="005260AE"/>
    <w:rsid w:val="0060473D"/>
    <w:rsid w:val="00654963"/>
    <w:rsid w:val="00661AD2"/>
    <w:rsid w:val="006B7F89"/>
    <w:rsid w:val="006F7DCA"/>
    <w:rsid w:val="00735024"/>
    <w:rsid w:val="00745EF5"/>
    <w:rsid w:val="007B7341"/>
    <w:rsid w:val="00827687"/>
    <w:rsid w:val="00860951"/>
    <w:rsid w:val="00903555"/>
    <w:rsid w:val="00931ED3"/>
    <w:rsid w:val="00A05A33"/>
    <w:rsid w:val="00A12D36"/>
    <w:rsid w:val="00AD4DEF"/>
    <w:rsid w:val="00B10F07"/>
    <w:rsid w:val="00B1163E"/>
    <w:rsid w:val="00B73CED"/>
    <w:rsid w:val="00B83BDC"/>
    <w:rsid w:val="00BA0B54"/>
    <w:rsid w:val="00D46318"/>
    <w:rsid w:val="00DB222C"/>
    <w:rsid w:val="00E402FD"/>
    <w:rsid w:val="00F27C8D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53A45"/>
  <w15:docId w15:val="{B3B9C54F-6135-4668-B7C6-022CE3B7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35024"/>
    <w:pPr>
      <w:keepNext/>
      <w:numPr>
        <w:ilvl w:val="5"/>
        <w:numId w:val="3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735024"/>
    <w:rPr>
      <w:rFonts w:ascii="Arial" w:eastAsia="Times New Roman" w:hAnsi="Arial" w:cs="Times New Roman"/>
      <w:b/>
      <w:bCs/>
      <w:i/>
      <w:iCs/>
      <w:sz w:val="28"/>
      <w:szCs w:val="28"/>
      <w:lang w:val="x-none" w:eastAsia="bg-BG"/>
    </w:rPr>
  </w:style>
  <w:style w:type="paragraph" w:customStyle="1" w:styleId="0000">
    <w:name w:val="0000СТ"/>
    <w:basedOn w:val="Heading2"/>
    <w:uiPriority w:val="99"/>
    <w:rsid w:val="00735024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customStyle="1" w:styleId="Normal1">
    <w:name w:val="Normal1"/>
    <w:uiPriority w:val="99"/>
    <w:rsid w:val="00735024"/>
    <w:pPr>
      <w:widowControl w:val="0"/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B10F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07"/>
  </w:style>
  <w:style w:type="paragraph" w:styleId="Footer">
    <w:name w:val="footer"/>
    <w:basedOn w:val="Normal"/>
    <w:link w:val="FooterChar"/>
    <w:uiPriority w:val="99"/>
    <w:unhideWhenUsed/>
    <w:rsid w:val="00B10F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07"/>
  </w:style>
  <w:style w:type="paragraph" w:styleId="BalloonText">
    <w:name w:val="Balloon Text"/>
    <w:basedOn w:val="Normal"/>
    <w:link w:val="BalloonTextChar"/>
    <w:uiPriority w:val="99"/>
    <w:semiHidden/>
    <w:unhideWhenUsed/>
    <w:rsid w:val="00F2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0A69-0E10-4F3D-A1A1-55904F7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SO-10</dc:creator>
  <cp:lastModifiedBy>DVasileva</cp:lastModifiedBy>
  <cp:revision>44</cp:revision>
  <dcterms:created xsi:type="dcterms:W3CDTF">2018-07-26T12:23:00Z</dcterms:created>
  <dcterms:modified xsi:type="dcterms:W3CDTF">2019-09-04T10:53:00Z</dcterms:modified>
</cp:coreProperties>
</file>