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8871D3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bg-BG" w:eastAsia="ru-RU"/>
        </w:rPr>
      </w:pPr>
      <w:bookmarkStart w:id="0" w:name="_Toc447632538"/>
      <w:r w:rsidRPr="008871D3">
        <w:rPr>
          <w:rFonts w:asciiTheme="majorBidi" w:hAnsiTheme="majorBidi" w:cstheme="majorBidi"/>
          <w:b/>
          <w:szCs w:val="24"/>
          <w:lang w:val="bg-BG" w:eastAsia="ru-RU"/>
        </w:rPr>
        <w:t xml:space="preserve">Приложение № </w:t>
      </w:r>
      <w:bookmarkEnd w:id="0"/>
      <w:r w:rsidR="00F8004F">
        <w:rPr>
          <w:rFonts w:asciiTheme="majorBidi" w:hAnsiTheme="majorBidi" w:cstheme="majorBidi"/>
          <w:b/>
          <w:szCs w:val="24"/>
          <w:lang w:val="bg-BG" w:eastAsia="ru-RU"/>
        </w:rPr>
        <w:t>1</w:t>
      </w:r>
    </w:p>
    <w:p w:rsidR="00D4680C" w:rsidRPr="008871D3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bg-BG" w:eastAsia="ru-RU"/>
        </w:rPr>
      </w:pPr>
      <w:r w:rsidRPr="008871D3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p w:rsidR="00FB65B5" w:rsidRPr="008871D3" w:rsidRDefault="00FB65B5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236"/>
      </w:tblGrid>
      <w:tr w:rsidR="002F6B13" w:rsidRPr="008871D3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8871D3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Информация за </w:t>
            </w:r>
            <w:proofErr w:type="spellStart"/>
            <w:r w:rsidRPr="008871D3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тендера</w:t>
            </w:r>
            <w:proofErr w:type="spellEnd"/>
            <w:r w:rsidR="00E70BD2" w:rsidRPr="008871D3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</w:t>
            </w:r>
          </w:p>
        </w:tc>
      </w:tr>
      <w:tr w:rsidR="002F6B13" w:rsidRPr="008871D3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8871D3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I.  Общ</w:t>
            </w:r>
            <w:r w:rsidR="00584CB7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а информация</w:t>
            </w:r>
          </w:p>
        </w:tc>
      </w:tr>
      <w:tr w:rsidR="006D1179" w:rsidRPr="008871D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Организатор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8450B1" w:rsidP="00006FFC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proofErr w:type="gramStart"/>
            <w:r w:rsidRPr="00927E61">
              <w:t>пр-во</w:t>
            </w:r>
            <w:proofErr w:type="spellEnd"/>
            <w:proofErr w:type="gramEnd"/>
            <w:r w:rsidRPr="00927E61">
              <w:t xml:space="preserve"> КОГ</w:t>
            </w:r>
            <w:r w:rsidRPr="004B7A73">
              <w:rPr>
                <w:lang w:val="ru-RU"/>
              </w:rPr>
              <w:t xml:space="preserve">, </w:t>
            </w:r>
            <w:r>
              <w:t>АВД</w:t>
            </w:r>
            <w:r w:rsidRPr="007745F9">
              <w:t>.</w:t>
            </w:r>
          </w:p>
        </w:tc>
      </w:tr>
      <w:tr w:rsidR="006D1179" w:rsidRPr="008871D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Номер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450B1" w:rsidRDefault="00BB4B13" w:rsidP="008450B1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Cs w:val="24"/>
              </w:rPr>
            </w:pPr>
            <w:r>
              <w:rPr>
                <w:szCs w:val="24"/>
                <w:lang w:val="bg-BG"/>
              </w:rPr>
              <w:t>ЛНБ-ИД-2018-1</w:t>
            </w:r>
            <w:r w:rsidR="008450B1">
              <w:rPr>
                <w:szCs w:val="24"/>
              </w:rPr>
              <w:t>15</w:t>
            </w:r>
          </w:p>
        </w:tc>
      </w:tr>
      <w:tr w:rsidR="006D1179" w:rsidRPr="00E03F90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1D3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Предмет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B1" w:rsidRDefault="008450B1" w:rsidP="008450B1">
            <w:pPr>
              <w:jc w:val="left"/>
              <w:rPr>
                <w:b/>
                <w:lang w:val="ru-RU"/>
              </w:rPr>
            </w:pPr>
            <w:r w:rsidRPr="004011DB">
              <w:rPr>
                <w:b/>
                <w:lang w:val="ru-RU"/>
              </w:rPr>
              <w:t>“</w:t>
            </w:r>
            <w:proofErr w:type="spellStart"/>
            <w:r w:rsidR="00E03F90">
              <w:rPr>
                <w:b/>
                <w:lang w:val="ru-RU"/>
              </w:rPr>
              <w:t>Стр</w:t>
            </w:r>
            <w:r w:rsidR="00E03F90">
              <w:rPr>
                <w:b/>
                <w:lang w:val="bg-BG"/>
              </w:rPr>
              <w:t>ои</w:t>
            </w:r>
            <w:r w:rsidRPr="008450B1">
              <w:rPr>
                <w:b/>
                <w:lang w:val="ru-RU"/>
              </w:rPr>
              <w:t>телно-монтажни</w:t>
            </w:r>
            <w:proofErr w:type="spellEnd"/>
            <w:r w:rsidRPr="008450B1">
              <w:rPr>
                <w:b/>
                <w:lang w:val="ru-RU"/>
              </w:rPr>
              <w:t xml:space="preserve"> </w:t>
            </w:r>
            <w:proofErr w:type="spellStart"/>
            <w:r w:rsidRPr="008450B1">
              <w:rPr>
                <w:b/>
                <w:lang w:val="ru-RU"/>
              </w:rPr>
              <w:t>работи</w:t>
            </w:r>
            <w:proofErr w:type="spellEnd"/>
            <w:r w:rsidRPr="008450B1">
              <w:rPr>
                <w:b/>
                <w:lang w:val="ru-RU"/>
              </w:rPr>
              <w:t xml:space="preserve"> по </w:t>
            </w:r>
            <w:proofErr w:type="spellStart"/>
            <w:r w:rsidRPr="008450B1">
              <w:rPr>
                <w:b/>
                <w:lang w:val="ru-RU"/>
              </w:rPr>
              <w:t>инвест.програма</w:t>
            </w:r>
            <w:proofErr w:type="spellEnd"/>
            <w:r w:rsidRPr="008450B1">
              <w:rPr>
                <w:b/>
                <w:lang w:val="ru-RU"/>
              </w:rPr>
              <w:t xml:space="preserve"> с </w:t>
            </w:r>
            <w:proofErr w:type="spellStart"/>
            <w:r w:rsidRPr="008450B1">
              <w:rPr>
                <w:b/>
                <w:lang w:val="ru-RU"/>
              </w:rPr>
              <w:t>преобладаваща</w:t>
            </w:r>
            <w:proofErr w:type="spellEnd"/>
            <w:r w:rsidRPr="008450B1">
              <w:rPr>
                <w:b/>
                <w:lang w:val="ru-RU"/>
              </w:rPr>
              <w:t xml:space="preserve"> част </w:t>
            </w:r>
            <w:proofErr w:type="spellStart"/>
            <w:r w:rsidRPr="008450B1">
              <w:rPr>
                <w:b/>
                <w:lang w:val="ru-RU"/>
              </w:rPr>
              <w:t>Електро</w:t>
            </w:r>
            <w:proofErr w:type="spellEnd"/>
            <w:r w:rsidRPr="004011DB">
              <w:rPr>
                <w:b/>
                <w:lang w:val="ru-RU"/>
              </w:rPr>
              <w:t>”</w:t>
            </w:r>
            <w:r>
              <w:rPr>
                <w:b/>
                <w:lang w:val="ru-RU"/>
              </w:rPr>
              <w:t>:</w:t>
            </w:r>
          </w:p>
          <w:p w:rsidR="008450B1" w:rsidRDefault="008450B1" w:rsidP="008450B1">
            <w:pPr>
              <w:jc w:val="left"/>
              <w:rPr>
                <w:lang w:val="ru-RU"/>
              </w:rPr>
            </w:pPr>
            <w:r w:rsidRPr="0014646D">
              <w:rPr>
                <w:b/>
                <w:lang w:val="ru-RU"/>
              </w:rPr>
              <w:t xml:space="preserve">ЛОТ 1: </w:t>
            </w:r>
            <w:r w:rsidRPr="0014646D">
              <w:rPr>
                <w:lang w:val="ru-RU"/>
              </w:rPr>
              <w:t xml:space="preserve">Монтаж и </w:t>
            </w:r>
            <w:proofErr w:type="spellStart"/>
            <w:r w:rsidRPr="0014646D">
              <w:rPr>
                <w:lang w:val="ru-RU"/>
              </w:rPr>
              <w:t>обвръзка</w:t>
            </w:r>
            <w:proofErr w:type="spellEnd"/>
            <w:r w:rsidRPr="0014646D">
              <w:rPr>
                <w:lang w:val="ru-RU"/>
              </w:rPr>
              <w:t xml:space="preserve"> на </w:t>
            </w:r>
            <w:proofErr w:type="spellStart"/>
            <w:r w:rsidRPr="0014646D">
              <w:rPr>
                <w:lang w:val="ru-RU"/>
              </w:rPr>
              <w:t>промишлен</w:t>
            </w:r>
            <w:proofErr w:type="spellEnd"/>
            <w:r w:rsidRPr="0014646D">
              <w:rPr>
                <w:lang w:val="ru-RU"/>
              </w:rPr>
              <w:t xml:space="preserve"> UPS за </w:t>
            </w:r>
            <w:proofErr w:type="spellStart"/>
            <w:r w:rsidRPr="0014646D">
              <w:rPr>
                <w:lang w:val="ru-RU"/>
              </w:rPr>
              <w:t>цялото</w:t>
            </w:r>
            <w:proofErr w:type="spellEnd"/>
            <w:r w:rsidRPr="0014646D">
              <w:rPr>
                <w:lang w:val="ru-RU"/>
              </w:rPr>
              <w:t xml:space="preserve"> КИП и А </w:t>
            </w:r>
            <w:proofErr w:type="spellStart"/>
            <w:r w:rsidRPr="0014646D">
              <w:rPr>
                <w:lang w:val="ru-RU"/>
              </w:rPr>
              <w:t>оборудване</w:t>
            </w:r>
            <w:proofErr w:type="spellEnd"/>
            <w:r w:rsidRPr="0014646D">
              <w:rPr>
                <w:lang w:val="ru-RU"/>
              </w:rPr>
              <w:t xml:space="preserve"> на </w:t>
            </w:r>
            <w:proofErr w:type="spellStart"/>
            <w:r w:rsidRPr="0014646D">
              <w:rPr>
                <w:lang w:val="ru-RU"/>
              </w:rPr>
              <w:t>инст</w:t>
            </w:r>
            <w:proofErr w:type="spellEnd"/>
            <w:r w:rsidRPr="0014646D">
              <w:rPr>
                <w:lang w:val="ru-RU"/>
              </w:rPr>
              <w:t>. АГФИ.</w:t>
            </w:r>
          </w:p>
          <w:p w:rsidR="006D1179" w:rsidRPr="008871D3" w:rsidRDefault="00020973" w:rsidP="008450B1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Cs w:val="24"/>
                <w:lang w:val="bg-BG"/>
              </w:rPr>
            </w:pPr>
            <w:r>
              <w:rPr>
                <w:b/>
                <w:lang w:val="ru-RU"/>
              </w:rPr>
              <w:t xml:space="preserve">ЛОТ </w:t>
            </w:r>
            <w:r w:rsidR="008450B1" w:rsidRPr="0014646D">
              <w:rPr>
                <w:b/>
                <w:lang w:val="ru-RU"/>
              </w:rPr>
              <w:t>2:</w:t>
            </w:r>
            <w:r w:rsidR="008450B1" w:rsidRPr="0014646D">
              <w:rPr>
                <w:lang w:val="ru-RU"/>
              </w:rPr>
              <w:t xml:space="preserve"> </w:t>
            </w:r>
            <w:bookmarkStart w:id="1" w:name="_GoBack"/>
            <w:bookmarkEnd w:id="1"/>
            <w:r w:rsidR="008450B1" w:rsidRPr="0014646D">
              <w:rPr>
                <w:lang w:val="ru-RU"/>
              </w:rPr>
              <w:t xml:space="preserve">Реконструкция и модернизация на </w:t>
            </w:r>
            <w:proofErr w:type="spellStart"/>
            <w:r w:rsidR="008450B1" w:rsidRPr="0014646D">
              <w:rPr>
                <w:lang w:val="ru-RU"/>
              </w:rPr>
              <w:t>електрозахранването</w:t>
            </w:r>
            <w:proofErr w:type="spellEnd"/>
            <w:r w:rsidR="008450B1" w:rsidRPr="0014646D">
              <w:rPr>
                <w:lang w:val="ru-RU"/>
              </w:rPr>
              <w:t xml:space="preserve"> на п/</w:t>
            </w:r>
            <w:proofErr w:type="spellStart"/>
            <w:r w:rsidR="008450B1" w:rsidRPr="0014646D">
              <w:rPr>
                <w:lang w:val="ru-RU"/>
              </w:rPr>
              <w:t>ст</w:t>
            </w:r>
            <w:proofErr w:type="spellEnd"/>
            <w:r w:rsidR="008450B1" w:rsidRPr="0014646D">
              <w:rPr>
                <w:lang w:val="ru-RU"/>
              </w:rPr>
              <w:t xml:space="preserve"> 205 КРУ-1 и КРУ-2 АВД от ГПП 2.</w:t>
            </w:r>
          </w:p>
        </w:tc>
      </w:tr>
      <w:tr w:rsidR="00E9098E" w:rsidRPr="008871D3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1D3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Вид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1D3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Открит, </w:t>
            </w:r>
            <w:proofErr w:type="spellStart"/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</w:p>
        </w:tc>
      </w:tr>
      <w:tr w:rsidR="00E9098E" w:rsidRPr="00E03F90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1D3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II.  </w:t>
            </w:r>
            <w:r w:rsidR="00BC1C56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Минимални к</w:t>
            </w: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валификационни изисквания към Претендента </w:t>
            </w:r>
            <w:r w:rsidR="004D3FB6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за допускане до участие в </w:t>
            </w:r>
            <w:proofErr w:type="spellStart"/>
            <w:r w:rsidR="004D3FB6"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тендер</w:t>
            </w:r>
            <w:proofErr w:type="spellEnd"/>
          </w:p>
        </w:tc>
      </w:tr>
      <w:tr w:rsidR="00BC1C56" w:rsidRPr="00E03F90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Предишен опит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3859D6" w:rsidP="008450B1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Да има реализиран минимум един договор за последните три години като основен изпълнител на </w:t>
            </w:r>
            <w:r w:rsidR="008450B1" w:rsidRPr="00791E94">
              <w:rPr>
                <w:rFonts w:asciiTheme="majorBidi" w:hAnsiTheme="majorBidi" w:cstheme="majorBidi"/>
                <w:iCs/>
                <w:szCs w:val="24"/>
                <w:lang w:val="bg-BG"/>
              </w:rPr>
              <w:t>реконструкции</w:t>
            </w:r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в уредби Средно напрежение – първична и вторична комутация, със стойност на всеки един договор не по-малка от 50 000 лева без ДДС.</w:t>
            </w:r>
          </w:p>
        </w:tc>
      </w:tr>
      <w:tr w:rsidR="00BC1C56" w:rsidRPr="00E03F90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Наличие на сертификати и регистрации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D6" w:rsidRPr="003859D6" w:rsidRDefault="003859D6" w:rsidP="003859D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- Да притежава валидни сертификати  по управление на  качеството (ISO 9001), на околната среда (ISO 14001) и на здравето (OHSAS 18001). </w:t>
            </w:r>
          </w:p>
          <w:p w:rsidR="003859D6" w:rsidRPr="003859D6" w:rsidRDefault="003859D6" w:rsidP="003859D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>- Да притежава сертификат - Орган за контрол от вид “С” в областта на електрическите измервания или да обезпечи дейностите от фирма, притежаваща сертификат - Орган за контрол от вид “A” или “С”.</w:t>
            </w:r>
          </w:p>
          <w:p w:rsidR="00BC1C56" w:rsidRDefault="003859D6" w:rsidP="003859D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- Да разполага с изпълнителски персонал с квалификационна група в съответствие с „Правилник за безопасност и здраве при работа в електрически уредби на електрически и топлофикационни централи и по електрически мрежи“, (загл. изм. - </w:t>
            </w:r>
            <w:proofErr w:type="spellStart"/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>дв</w:t>
            </w:r>
            <w:proofErr w:type="spellEnd"/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>, бр. 19 от 2005 г.) издаден от министерство на енергетиката и енергийните ресурси, в сила от 29.08.2004 г.</w:t>
            </w:r>
          </w:p>
          <w:p w:rsidR="00A96721" w:rsidRPr="008871D3" w:rsidRDefault="00A96721" w:rsidP="003859D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Style w:val="af1"/>
                <w:szCs w:val="24"/>
                <w:lang w:val="ru-RU"/>
              </w:rPr>
              <w:t xml:space="preserve">- </w:t>
            </w:r>
            <w:proofErr w:type="spellStart"/>
            <w:r w:rsidRPr="00A96721">
              <w:rPr>
                <w:rStyle w:val="af1"/>
                <w:i w:val="0"/>
                <w:szCs w:val="24"/>
                <w:lang w:val="ru-RU"/>
              </w:rPr>
              <w:t>Висше</w:t>
            </w:r>
            <w:proofErr w:type="spellEnd"/>
            <w:r w:rsidRPr="00A96721">
              <w:rPr>
                <w:rStyle w:val="af1"/>
                <w:i w:val="0"/>
                <w:szCs w:val="24"/>
                <w:lang w:val="ru-RU"/>
              </w:rPr>
              <w:t xml:space="preserve"> </w:t>
            </w:r>
            <w:proofErr w:type="spellStart"/>
            <w:r w:rsidRPr="00A96721">
              <w:rPr>
                <w:rStyle w:val="af1"/>
                <w:i w:val="0"/>
                <w:szCs w:val="24"/>
                <w:lang w:val="ru-RU"/>
              </w:rPr>
              <w:t>електротехническо</w:t>
            </w:r>
            <w:proofErr w:type="spellEnd"/>
            <w:r w:rsidRPr="00A96721">
              <w:rPr>
                <w:rStyle w:val="af1"/>
                <w:i w:val="0"/>
                <w:szCs w:val="24"/>
                <w:lang w:val="ru-RU"/>
              </w:rPr>
              <w:t xml:space="preserve"> образование и </w:t>
            </w:r>
            <w:proofErr w:type="spellStart"/>
            <w:r w:rsidRPr="00A96721">
              <w:rPr>
                <w:rStyle w:val="af1"/>
                <w:i w:val="0"/>
                <w:szCs w:val="24"/>
                <w:lang w:val="ru-RU"/>
              </w:rPr>
              <w:t>професионален</w:t>
            </w:r>
            <w:proofErr w:type="spellEnd"/>
            <w:r w:rsidRPr="00A96721">
              <w:rPr>
                <w:rStyle w:val="af1"/>
                <w:i w:val="0"/>
                <w:szCs w:val="24"/>
                <w:lang w:val="ru-RU"/>
              </w:rPr>
              <w:t xml:space="preserve"> опит минимум пет </w:t>
            </w:r>
            <w:proofErr w:type="spellStart"/>
            <w:r w:rsidRPr="00A96721">
              <w:rPr>
                <w:rStyle w:val="af1"/>
                <w:i w:val="0"/>
                <w:szCs w:val="24"/>
                <w:lang w:val="ru-RU"/>
              </w:rPr>
              <w:t>години</w:t>
            </w:r>
            <w:proofErr w:type="spellEnd"/>
            <w:r>
              <w:rPr>
                <w:rStyle w:val="af1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на </w:t>
            </w:r>
            <w:proofErr w:type="spellStart"/>
            <w:r>
              <w:rPr>
                <w:szCs w:val="24"/>
                <w:lang w:val="ru-RU"/>
              </w:rPr>
              <w:t>ключовия</w:t>
            </w:r>
            <w:proofErr w:type="spellEnd"/>
            <w:r>
              <w:rPr>
                <w:szCs w:val="24"/>
                <w:lang w:val="ru-RU"/>
              </w:rPr>
              <w:t xml:space="preserve"> персонал, </w:t>
            </w:r>
            <w:proofErr w:type="spellStart"/>
            <w:r>
              <w:rPr>
                <w:szCs w:val="24"/>
                <w:lang w:val="ru-RU"/>
              </w:rPr>
              <w:t>който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ще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бъде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ангажиран</w:t>
            </w:r>
            <w:proofErr w:type="spellEnd"/>
            <w:r>
              <w:rPr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Cs w:val="24"/>
                <w:lang w:val="ru-RU"/>
              </w:rPr>
              <w:t>изпълнението</w:t>
            </w:r>
            <w:proofErr w:type="spellEnd"/>
            <w:r>
              <w:rPr>
                <w:szCs w:val="24"/>
                <w:lang w:val="ru-RU"/>
              </w:rPr>
              <w:t xml:space="preserve"> на договора</w:t>
            </w:r>
            <w:r>
              <w:rPr>
                <w:rStyle w:val="af1"/>
                <w:szCs w:val="24"/>
                <w:lang w:val="ru-RU"/>
              </w:rPr>
              <w:t>.</w:t>
            </w:r>
          </w:p>
        </w:tc>
      </w:tr>
      <w:tr w:rsidR="00BC1C56" w:rsidRPr="00E03F90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B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Технически параметри</w:t>
            </w:r>
          </w:p>
          <w:p w:rsidR="00FD39E2" w:rsidRPr="008871D3" w:rsidRDefault="00FD39E2" w:rsidP="0023071B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</w:p>
          <w:p w:rsidR="0023071B" w:rsidRPr="008871D3" w:rsidRDefault="0023071B" w:rsidP="0023071B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</w:p>
          <w:p w:rsidR="00BC1C56" w:rsidRPr="008871D3" w:rsidRDefault="00BC1C56" w:rsidP="003859D6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8871D3" w:rsidRDefault="003859D6" w:rsidP="0023740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iCs/>
                <w:szCs w:val="24"/>
                <w:lang w:val="bg-BG"/>
              </w:rPr>
              <w:t>Спецификация в която са указани/посочени производител, тип, вид и други технически параметри на предлаганото оборудване.</w:t>
            </w:r>
          </w:p>
        </w:tc>
      </w:tr>
      <w:tr w:rsidR="00E66619" w:rsidRPr="00E03F90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19" w:rsidRPr="008871D3" w:rsidRDefault="00E66619" w:rsidP="003859D6">
            <w:pPr>
              <w:pStyle w:val="a9"/>
              <w:numPr>
                <w:ilvl w:val="1"/>
                <w:numId w:val="47"/>
              </w:numPr>
              <w:tabs>
                <w:tab w:val="left" w:pos="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lastRenderedPageBreak/>
              <w:t xml:space="preserve"> </w:t>
            </w:r>
            <w:r w:rsidR="003859D6" w:rsidRPr="003859D6">
              <w:rPr>
                <w:rFonts w:asciiTheme="majorBidi" w:hAnsiTheme="majorBidi" w:cstheme="majorBidi"/>
                <w:lang w:val="bg-BG"/>
              </w:rPr>
              <w:t xml:space="preserve">Приемане на предложения </w:t>
            </w:r>
            <w:proofErr w:type="spellStart"/>
            <w:r w:rsidR="003859D6" w:rsidRPr="003859D6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="003859D6" w:rsidRPr="003859D6">
              <w:rPr>
                <w:rFonts w:asciiTheme="majorBidi" w:hAnsiTheme="majorBidi" w:cstheme="majorBidi"/>
                <w:lang w:val="bg-BG"/>
              </w:rPr>
              <w:t xml:space="preserve"> договор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19" w:rsidRPr="008871D3" w:rsidRDefault="003859D6" w:rsidP="0069561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Безусловно приемане на предложения </w:t>
            </w:r>
            <w:proofErr w:type="spellStart"/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>проекто</w:t>
            </w:r>
            <w:proofErr w:type="spellEnd"/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договор.</w:t>
            </w:r>
          </w:p>
        </w:tc>
      </w:tr>
      <w:tr w:rsidR="007678A7" w:rsidRPr="00E03F90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A7" w:rsidRPr="008871D3" w:rsidRDefault="003859D6" w:rsidP="003859D6">
            <w:pPr>
              <w:pStyle w:val="a9"/>
              <w:numPr>
                <w:ilvl w:val="1"/>
                <w:numId w:val="47"/>
              </w:numPr>
              <w:tabs>
                <w:tab w:val="left" w:pos="0"/>
              </w:tabs>
              <w:jc w:val="both"/>
              <w:rPr>
                <w:rFonts w:asciiTheme="majorBidi" w:hAnsiTheme="majorBidi" w:cstheme="majorBidi"/>
                <w:lang w:val="bg-BG"/>
              </w:rPr>
            </w:pPr>
            <w:r w:rsidRPr="003859D6">
              <w:rPr>
                <w:rFonts w:asciiTheme="majorBidi" w:hAnsiTheme="majorBidi" w:cstheme="majorBidi"/>
                <w:lang w:val="bg-BG"/>
              </w:rPr>
              <w:t>Общ годишен оборот за последните 3 (три) години.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3" w:rsidRPr="008871D3" w:rsidRDefault="00791E94" w:rsidP="00982273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Минимално изискване за допустимост е претендента да има реализиран </w:t>
            </w:r>
            <w:r>
              <w:rPr>
                <w:rFonts w:asciiTheme="majorBidi" w:hAnsiTheme="majorBidi" w:cstheme="majorBidi"/>
                <w:lang w:val="bg-BG"/>
              </w:rPr>
              <w:t>о</w:t>
            </w:r>
            <w:r w:rsidRPr="003859D6">
              <w:rPr>
                <w:rFonts w:asciiTheme="majorBidi" w:hAnsiTheme="majorBidi" w:cstheme="majorBidi"/>
                <w:lang w:val="bg-BG"/>
              </w:rPr>
              <w:t>бщ годишен</w:t>
            </w: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оборот </w:t>
            </w:r>
            <w:r w:rsidRPr="003859D6">
              <w:rPr>
                <w:rFonts w:asciiTheme="majorBidi" w:hAnsiTheme="majorBidi" w:cstheme="majorBidi"/>
                <w:lang w:val="bg-BG"/>
              </w:rPr>
              <w:t>за последните 3 (три) години</w:t>
            </w: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в размер 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не по-малък от</w:t>
            </w: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5F09B5">
              <w:rPr>
                <w:rFonts w:asciiTheme="majorBidi" w:hAnsiTheme="majorBidi" w:cstheme="majorBidi"/>
                <w:szCs w:val="24"/>
                <w:lang w:val="ru-RU"/>
              </w:rPr>
              <w:t>1</w:t>
            </w:r>
            <w:r w:rsidRPr="003859D6">
              <w:rPr>
                <w:rFonts w:asciiTheme="majorBidi" w:hAnsiTheme="majorBidi" w:cstheme="majorBidi"/>
                <w:szCs w:val="24"/>
                <w:lang w:val="bg-BG"/>
              </w:rPr>
              <w:t>5 000 000 лв.</w:t>
            </w:r>
          </w:p>
        </w:tc>
      </w:tr>
      <w:tr w:rsidR="00F32C13" w:rsidRPr="00E03F90" w:rsidTr="00F32C13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F32C13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32C13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F32C13" w:rsidRPr="00E03F90" w:rsidTr="00F32C13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F32C13" w:rsidRDefault="004D3FB6" w:rsidP="00F62360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F32C13">
              <w:rPr>
                <w:rFonts w:asciiTheme="majorBidi" w:hAnsiTheme="majorBidi" w:cstheme="majorBidi"/>
                <w:lang w:val="bg-BG"/>
              </w:rPr>
              <w:t>Претендентът</w:t>
            </w:r>
            <w:r w:rsidR="00F62360" w:rsidRPr="00F32C13">
              <w:rPr>
                <w:rFonts w:asciiTheme="majorBidi" w:hAnsiTheme="majorBidi" w:cstheme="majorBidi"/>
                <w:lang w:val="bg-BG"/>
              </w:rPr>
              <w:t>,</w:t>
            </w:r>
            <w:r w:rsidRPr="00F32C1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F62360" w:rsidRPr="00F32C13">
              <w:rPr>
                <w:rFonts w:asciiTheme="majorBidi" w:hAnsiTheme="majorBidi" w:cstheme="majorBidi"/>
                <w:lang w:val="bg-BG"/>
              </w:rPr>
              <w:t xml:space="preserve">съвместно с подизпълнител/и, </w:t>
            </w:r>
            <w:r w:rsidRPr="00F32C13">
              <w:rPr>
                <w:rFonts w:asciiTheme="majorBidi" w:hAnsiTheme="majorBidi" w:cstheme="majorBidi"/>
                <w:lang w:val="bg-BG"/>
              </w:rPr>
              <w:t>покрива</w:t>
            </w:r>
            <w:r w:rsidR="00F62360" w:rsidRPr="00F32C13">
              <w:rPr>
                <w:rFonts w:asciiTheme="majorBidi" w:hAnsiTheme="majorBidi" w:cstheme="majorBidi"/>
                <w:lang w:val="bg-BG"/>
              </w:rPr>
              <w:t>т</w:t>
            </w:r>
            <w:r w:rsidRPr="00F32C13">
              <w:rPr>
                <w:rFonts w:asciiTheme="majorBidi" w:hAnsiTheme="majorBidi" w:cstheme="majorBidi"/>
                <w:lang w:val="bg-BG"/>
              </w:rPr>
              <w:t xml:space="preserve"> всички изисквания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7BA" w:rsidRPr="00F32C13" w:rsidRDefault="00F62360" w:rsidP="00CA17BA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lang w:val="bg-BG"/>
              </w:rPr>
            </w:pPr>
            <w:r w:rsidRPr="00F32C13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  <w:p w:rsidR="00820466" w:rsidRPr="00F32C13" w:rsidRDefault="00820466" w:rsidP="00820466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/>
              <w:ind w:left="459" w:right="249" w:hanging="284"/>
              <w:rPr>
                <w:rFonts w:asciiTheme="majorBidi" w:hAnsiTheme="majorBidi" w:cstheme="majorBidi"/>
                <w:lang w:val="bg-BG"/>
              </w:rPr>
            </w:pPr>
            <w:r w:rsidRPr="00F32C13">
              <w:rPr>
                <w:rFonts w:asciiTheme="majorBidi" w:hAnsiTheme="majorBidi" w:cstheme="majorBidi"/>
                <w:lang w:val="bg-BG"/>
              </w:rPr>
              <w:t xml:space="preserve">представят се официални документи за взаимоотношенията с подизпълнител/и за конкретния </w:t>
            </w:r>
            <w:proofErr w:type="spellStart"/>
            <w:r w:rsidRPr="00F32C1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</w:p>
        </w:tc>
      </w:tr>
      <w:tr w:rsidR="004D3FB6" w:rsidRPr="00E03F90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8871D3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III.  Срокове за отделните етапи на провеждане на </w:t>
            </w:r>
            <w:proofErr w:type="spellStart"/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4D3FB6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D8369C" w:rsidP="00D8369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3.1.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4D3FB6" w:rsidRPr="008871D3">
              <w:rPr>
                <w:rFonts w:asciiTheme="majorBidi" w:hAnsiTheme="majorBidi" w:cstheme="majorBidi"/>
                <w:szCs w:val="24"/>
                <w:lang w:val="bg-BG"/>
              </w:rPr>
              <w:t>Краен срок за приемане на Заявки за участие</w:t>
            </w:r>
            <w:r w:rsidR="00F8004F">
              <w:rPr>
                <w:rFonts w:asciiTheme="majorBidi" w:hAnsiTheme="majorBidi" w:cstheme="majorBidi"/>
                <w:szCs w:val="24"/>
                <w:lang w:val="bg-BG"/>
              </w:rPr>
              <w:t xml:space="preserve"> в АСПТ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B30269" w:rsidRDefault="008450B1" w:rsidP="008450B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02</w:t>
            </w:r>
            <w:r w:rsidR="00BB4B13"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.0</w:t>
            </w:r>
            <w:r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4</w:t>
            </w:r>
            <w:r w:rsidR="003859D6"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.2018 г.</w:t>
            </w:r>
          </w:p>
        </w:tc>
      </w:tr>
      <w:tr w:rsidR="004D3FB6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3859D6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3.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>2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  <w:r w:rsidR="00D8369C" w:rsidRPr="008871D3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Краен срок за Искане за разяснения (форма 11</w:t>
            </w:r>
            <w:r w:rsidR="00F8004F">
              <w:rPr>
                <w:rFonts w:asciiTheme="majorBidi" w:hAnsiTheme="majorBidi" w:cstheme="majorBidi"/>
                <w:szCs w:val="24"/>
                <w:lang w:val="bg-BG"/>
              </w:rPr>
              <w:t xml:space="preserve"> в АСПТ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) от Претендента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B30269" w:rsidRDefault="00BB4B13" w:rsidP="00BB4B13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B30269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8450B1"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6</w:t>
            </w:r>
            <w:r w:rsidR="003859D6"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.0</w:t>
            </w:r>
            <w:r w:rsidRPr="00B30269">
              <w:rPr>
                <w:rFonts w:asciiTheme="majorBidi" w:hAnsiTheme="majorBidi" w:cstheme="majorBidi"/>
                <w:iCs/>
                <w:szCs w:val="24"/>
              </w:rPr>
              <w:t>4</w:t>
            </w:r>
            <w:r w:rsidR="003859D6" w:rsidRPr="00B30269">
              <w:rPr>
                <w:rFonts w:asciiTheme="majorBidi" w:hAnsiTheme="majorBidi" w:cstheme="majorBidi"/>
                <w:iCs/>
                <w:szCs w:val="24"/>
                <w:lang w:val="bg-BG"/>
              </w:rPr>
              <w:t>.2018 г.</w:t>
            </w:r>
          </w:p>
        </w:tc>
      </w:tr>
      <w:tr w:rsidR="004D3FB6" w:rsidRPr="003859D6" w:rsidTr="00020658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D8369C" w:rsidP="00F8004F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3.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>3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.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 w:rsidR="004D3FB6"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Краен срок за </w:t>
            </w:r>
            <w:r w:rsidR="00F8004F">
              <w:rPr>
                <w:rFonts w:asciiTheme="majorBidi" w:hAnsiTheme="majorBidi" w:cstheme="majorBidi"/>
                <w:szCs w:val="24"/>
                <w:lang w:val="bg-BG"/>
              </w:rPr>
              <w:t>приемане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="004D3FB6" w:rsidRPr="008871D3">
              <w:rPr>
                <w:rFonts w:asciiTheme="majorBidi" w:hAnsiTheme="majorBidi" w:cstheme="majorBidi"/>
                <w:szCs w:val="24"/>
                <w:lang w:val="bg-BG"/>
              </w:rPr>
              <w:t>на оферти</w:t>
            </w:r>
            <w:r w:rsidR="003859D6">
              <w:rPr>
                <w:rFonts w:asciiTheme="majorBidi" w:hAnsiTheme="majorBidi" w:cstheme="majorBidi"/>
                <w:szCs w:val="24"/>
                <w:lang w:val="bg-BG"/>
              </w:rPr>
              <w:t xml:space="preserve"> в АСПТ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B30269" w:rsidRDefault="008450B1" w:rsidP="008450B1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B30269">
              <w:rPr>
                <w:rFonts w:asciiTheme="majorBidi" w:hAnsiTheme="majorBidi" w:cstheme="majorBidi"/>
                <w:szCs w:val="24"/>
                <w:lang w:val="bg-BG"/>
              </w:rPr>
              <w:t>16</w:t>
            </w:r>
            <w:r w:rsidR="003859D6" w:rsidRPr="00B30269">
              <w:rPr>
                <w:rFonts w:asciiTheme="majorBidi" w:hAnsiTheme="majorBidi" w:cstheme="majorBidi"/>
                <w:szCs w:val="24"/>
                <w:lang w:val="bg-BG"/>
              </w:rPr>
              <w:t>.0</w:t>
            </w:r>
            <w:r w:rsidR="00BB4B13" w:rsidRPr="00B30269">
              <w:rPr>
                <w:rFonts w:asciiTheme="majorBidi" w:hAnsiTheme="majorBidi" w:cstheme="majorBidi"/>
                <w:szCs w:val="24"/>
              </w:rPr>
              <w:t>4</w:t>
            </w:r>
            <w:r w:rsidR="003859D6" w:rsidRPr="00B30269">
              <w:rPr>
                <w:rFonts w:asciiTheme="majorBidi" w:hAnsiTheme="majorBidi" w:cstheme="majorBidi"/>
                <w:szCs w:val="24"/>
                <w:lang w:val="bg-BG"/>
              </w:rPr>
              <w:t>.2018 г.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8871D3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IV.  Адрес и контактна информация</w:t>
            </w:r>
          </w:p>
        </w:tc>
      </w:tr>
      <w:tr w:rsidR="004D3FB6" w:rsidRPr="00E03F90" w:rsidTr="00020658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 w:rsidRPr="008871D3">
              <w:rPr>
                <w:rFonts w:asciiTheme="majorBidi" w:hAnsiTheme="majorBidi" w:cstheme="majorBidi"/>
                <w:lang w:val="bg-BG" w:eastAsia="en-US"/>
              </w:rPr>
              <w:tab/>
            </w:r>
            <w:r w:rsidRPr="008871D3">
              <w:rPr>
                <w:rFonts w:asciiTheme="majorBidi" w:hAnsiTheme="majorBidi" w:cstheme="majorBidi"/>
                <w:lang w:val="bg-BG" w:eastAsia="en-US"/>
              </w:rPr>
              <w:t>Адрес (e-</w:t>
            </w:r>
            <w:proofErr w:type="spellStart"/>
            <w:r w:rsidRPr="008871D3">
              <w:rPr>
                <w:rFonts w:asciiTheme="majorBidi" w:hAnsiTheme="majorBidi" w:cstheme="majorBidi"/>
                <w:lang w:val="bg-BG" w:eastAsia="en-US"/>
              </w:rPr>
              <w:t>mail</w:t>
            </w:r>
            <w:proofErr w:type="spellEnd"/>
            <w:r w:rsidRPr="008871D3">
              <w:rPr>
                <w:rFonts w:asciiTheme="majorBidi" w:hAnsiTheme="majorBidi" w:cstheme="majorBidi"/>
                <w:lang w:val="bg-BG" w:eastAsia="en-US"/>
              </w:rPr>
              <w:t>) за електронна кореспонденция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67C1D" w:rsidRDefault="00A96721" w:rsidP="00867C1D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hyperlink r:id="rId8" w:history="1">
              <w:r w:rsidR="00867C1D" w:rsidRPr="00867C1D">
                <w:rPr>
                  <w:rStyle w:val="a8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867C1D" w:rsidRPr="00867C1D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АСПТ</w:t>
            </w:r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(Автоматична система за провеждане на </w:t>
            </w:r>
            <w:proofErr w:type="spellStart"/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тендери</w:t>
            </w:r>
            <w:proofErr w:type="spellEnd"/>
            <w:r w:rsidR="00F8004F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)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8871D3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V.  Подготовка на офертата</w:t>
            </w:r>
          </w:p>
        </w:tc>
      </w:tr>
      <w:tr w:rsidR="004D3FB6" w:rsidRPr="00F8004F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67C1D" w:rsidRDefault="00F8004F" w:rsidP="00F8004F">
            <w:pPr>
              <w:pStyle w:val="a9"/>
              <w:numPr>
                <w:ilvl w:val="1"/>
                <w:numId w:val="49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F8004F">
              <w:rPr>
                <w:rFonts w:asciiTheme="majorBidi" w:hAnsiTheme="majorBidi" w:cstheme="majorBidi"/>
                <w:lang w:val="bg-BG"/>
              </w:rPr>
              <w:t>Език на офертата и за кореспонденция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F8004F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8004F">
              <w:rPr>
                <w:rFonts w:asciiTheme="majorBidi" w:hAnsiTheme="majorBidi" w:cstheme="majorBidi"/>
                <w:szCs w:val="24"/>
                <w:lang w:val="bg-BG"/>
              </w:rPr>
              <w:t>Български език</w:t>
            </w:r>
          </w:p>
        </w:tc>
      </w:tr>
      <w:tr w:rsidR="00F8004F" w:rsidRPr="00E03F90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67C1D" w:rsidRDefault="00F8004F" w:rsidP="00867C1D">
            <w:pPr>
              <w:pStyle w:val="a9"/>
              <w:numPr>
                <w:ilvl w:val="1"/>
                <w:numId w:val="49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867C1D">
              <w:rPr>
                <w:rFonts w:asciiTheme="majorBidi" w:hAnsiTheme="majorBidi" w:cstheme="majorBidi"/>
                <w:lang w:val="bg-BG"/>
              </w:rPr>
              <w:t>Валидност на офертата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F8004F">
              <w:rPr>
                <w:rFonts w:asciiTheme="majorBidi" w:hAnsiTheme="majorBidi" w:cstheme="majorBidi"/>
                <w:szCs w:val="24"/>
                <w:lang w:val="bg-BG"/>
              </w:rPr>
              <w:t>Срокът на валидност на офертите е минимум 90 календарни дни, считано от крайния срок за получаване на офертите.</w:t>
            </w:r>
          </w:p>
        </w:tc>
      </w:tr>
      <w:tr w:rsidR="00F8004F" w:rsidRPr="00E03F90" w:rsidTr="00353C2E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F8004F" w:rsidRDefault="00F8004F" w:rsidP="00F8004F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F8004F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VI.  Приемане и отваряне на </w:t>
            </w:r>
            <w:proofErr w:type="spellStart"/>
            <w:r w:rsidRPr="00F8004F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тендерните</w:t>
            </w:r>
            <w:proofErr w:type="spellEnd"/>
            <w:r w:rsidRPr="00F8004F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предложения</w:t>
            </w:r>
          </w:p>
        </w:tc>
      </w:tr>
      <w:tr w:rsidR="00F8004F" w:rsidRPr="00E03F90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6.1.</w:t>
            </w:r>
            <w:r w:rsidRPr="008871D3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bg-BG"/>
              </w:rPr>
              <w:t>Подаване на оферти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Оферти се подават и приемат само чрез АСПТ</w:t>
            </w:r>
          </w:p>
        </w:tc>
      </w:tr>
      <w:tr w:rsidR="00F8004F" w:rsidRPr="00F8004F" w:rsidTr="00020658">
        <w:tblPrEx>
          <w:tblBorders>
            <w:insideH w:val="single" w:sz="8" w:space="0" w:color="000000"/>
          </w:tblBorders>
        </w:tblPrEx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6.2.</w:t>
            </w:r>
            <w:r w:rsidRPr="008871D3">
              <w:rPr>
                <w:rFonts w:asciiTheme="majorBidi" w:hAnsiTheme="majorBidi" w:cstheme="majorBidi"/>
                <w:lang w:val="bg-BG"/>
              </w:rPr>
              <w:tab/>
              <w:t xml:space="preserve">Участие на Претенденти в отварянето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8871D3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8871D3" w:rsidRDefault="00F8004F" w:rsidP="00F8004F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867C1D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V</w:t>
            </w:r>
            <w:r w:rsidR="00F8004F">
              <w:rPr>
                <w:rFonts w:asciiTheme="majorBidi" w:hAnsiTheme="majorBidi" w:cstheme="majorBidi"/>
                <w:b/>
                <w:szCs w:val="24"/>
              </w:rPr>
              <w:t>I</w:t>
            </w: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I.  Структура на офертата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Плик А (Техническа част):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Списък на документите в Плик А;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9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(автоматична система за </w:t>
            </w:r>
            <w:proofErr w:type="spellStart"/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>тендерни</w:t>
            </w:r>
            <w:proofErr w:type="spellEnd"/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процедури)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Квалификационни изисквания;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>а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 xml:space="preserve"> 1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8871D3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8871D3">
              <w:rPr>
                <w:rFonts w:asciiTheme="majorBidi" w:hAnsiTheme="majorBidi" w:cstheme="majorBidi"/>
                <w:lang w:val="bg-BG"/>
              </w:rPr>
              <w:t xml:space="preserve"> предложение);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2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Техническо предложение;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3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7424BF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График </w:t>
            </w:r>
            <w:r w:rsidRPr="001C7AEE">
              <w:rPr>
                <w:rFonts w:asciiTheme="majorBidi" w:hAnsiTheme="majorBidi" w:cstheme="majorBidi"/>
                <w:lang w:val="bg-BG"/>
              </w:rPr>
              <w:t>за извършване на работите за</w:t>
            </w:r>
            <w:r w:rsidRPr="008871D3">
              <w:rPr>
                <w:rFonts w:asciiTheme="majorBidi" w:hAnsiTheme="majorBidi" w:cstheme="majorBidi"/>
                <w:lang w:val="bg-BG"/>
              </w:rPr>
              <w:t xml:space="preserve"> предоставяне на услугите, </w:t>
            </w:r>
            <w:r w:rsidRPr="00C00414">
              <w:rPr>
                <w:rFonts w:asciiTheme="majorBidi" w:hAnsiTheme="majorBidi" w:cstheme="majorBidi"/>
                <w:b/>
                <w:lang w:val="bg-BG"/>
              </w:rPr>
              <w:t>Форма 5</w:t>
            </w:r>
            <w:r w:rsidR="001F741F" w:rsidRPr="00C0041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61C94" w:rsidRDefault="004D3FB6" w:rsidP="00791E94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161C94">
              <w:rPr>
                <w:rFonts w:asciiTheme="majorBidi" w:hAnsiTheme="majorBidi" w:cstheme="majorBidi"/>
                <w:lang w:val="bg-BG"/>
              </w:rPr>
              <w:t>Гаранция</w:t>
            </w:r>
            <w:r w:rsidR="00791E94">
              <w:rPr>
                <w:rFonts w:asciiTheme="majorBidi" w:hAnsiTheme="majorBidi" w:cstheme="majorBidi"/>
                <w:lang w:val="bg-BG"/>
              </w:rPr>
              <w:t xml:space="preserve"> за участие в </w:t>
            </w:r>
            <w:proofErr w:type="spellStart"/>
            <w:r w:rsidR="00791E94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791E94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791E94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791E94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791E94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791E94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EC41CF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61C94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161C94">
              <w:rPr>
                <w:rFonts w:asciiTheme="majorBidi" w:hAnsiTheme="majorBidi" w:cstheme="majorBidi"/>
                <w:lang w:val="bg-BG"/>
              </w:rPr>
              <w:t>Гаранция о</w:t>
            </w:r>
            <w:r w:rsidR="00791E94">
              <w:rPr>
                <w:rFonts w:asciiTheme="majorBidi" w:hAnsiTheme="majorBidi" w:cstheme="majorBidi"/>
                <w:lang w:val="bg-BG"/>
              </w:rPr>
              <w:t>т главния офис</w:t>
            </w:r>
            <w:r w:rsidRPr="00161C94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EC41CF" w:rsidRPr="00161C94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C41CF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lastRenderedPageBreak/>
              <w:t>Въпросн</w:t>
            </w:r>
            <w:r w:rsidR="00791E94">
              <w:rPr>
                <w:rFonts w:asciiTheme="majorBidi" w:hAnsiTheme="majorBidi" w:cstheme="majorBidi"/>
                <w:lang w:val="bg-BG"/>
              </w:rPr>
              <w:t>ик към бизнес партньор</w:t>
            </w:r>
            <w:r w:rsidRPr="008871D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C41C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C41CF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8871D3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8871D3">
              <w:rPr>
                <w:rFonts w:asciiTheme="majorBidi" w:hAnsiTheme="majorBidi" w:cstheme="majorBidi"/>
                <w:lang w:val="bg-BG"/>
              </w:rPr>
              <w:t xml:space="preserve">официални документи за взаимоотношенията с подизпълнител/и за конкретния </w:t>
            </w:r>
            <w:proofErr w:type="spellStart"/>
            <w:r w:rsidR="00943C85" w:rsidRPr="008871D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943C85" w:rsidRPr="008871D3">
              <w:rPr>
                <w:rFonts w:asciiTheme="majorBidi" w:hAnsiTheme="majorBidi" w:cstheme="majorBidi"/>
                <w:lang w:val="bg-BG"/>
              </w:rPr>
              <w:t>)</w:t>
            </w:r>
            <w:r w:rsidRPr="008871D3">
              <w:rPr>
                <w:rFonts w:asciiTheme="majorBidi" w:hAnsiTheme="majorBidi" w:cstheme="majorBidi"/>
                <w:lang w:val="bg-BG"/>
              </w:rPr>
              <w:t xml:space="preserve">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8871D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8871D3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разрешителни</w:t>
            </w:r>
            <w:r w:rsidR="001F741F">
              <w:rPr>
                <w:rFonts w:asciiTheme="majorBidi" w:hAnsiTheme="majorBidi" w:cstheme="majorBidi"/>
                <w:lang w:val="bg-BG"/>
              </w:rPr>
              <w:t xml:space="preserve"> документи на подизпълнителите: </w:t>
            </w:r>
            <w:r w:rsidR="001F741F" w:rsidRPr="00732844">
              <w:rPr>
                <w:rFonts w:asciiTheme="majorBidi" w:hAnsiTheme="majorBidi" w:cstheme="majorBidi"/>
                <w:b/>
                <w:lang w:val="bg-BG"/>
              </w:rPr>
              <w:t>Форма 1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Копия на лицензи, удостоверения и разрешителни, необх</w:t>
            </w:r>
            <w:r w:rsidRPr="00BD168C">
              <w:rPr>
                <w:rFonts w:asciiTheme="majorBidi" w:hAnsiTheme="majorBidi" w:cstheme="majorBidi"/>
                <w:lang w:val="bg-BG"/>
              </w:rPr>
              <w:t xml:space="preserve">одими за изпълнения на работи </w:t>
            </w:r>
            <w:r w:rsidR="00BD168C">
              <w:rPr>
                <w:rFonts w:asciiTheme="majorBidi" w:hAnsiTheme="majorBidi" w:cstheme="majorBidi"/>
                <w:lang w:val="bg-BG"/>
              </w:rPr>
              <w:t>за</w:t>
            </w:r>
            <w:r w:rsidRPr="00BD168C">
              <w:rPr>
                <w:rFonts w:asciiTheme="majorBidi" w:hAnsiTheme="majorBidi" w:cstheme="majorBidi"/>
                <w:lang w:val="bg-BG"/>
              </w:rPr>
              <w:t xml:space="preserve"> предоставяне на услуг</w:t>
            </w:r>
            <w:r w:rsidR="008D2EAF">
              <w:rPr>
                <w:rFonts w:asciiTheme="majorBidi" w:hAnsiTheme="majorBidi" w:cstheme="majorBidi"/>
                <w:lang w:val="bg-BG"/>
              </w:rPr>
              <w:t xml:space="preserve">и, които са предмет на </w:t>
            </w:r>
            <w:proofErr w:type="spellStart"/>
            <w:r w:rsidR="008D2EAF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8D2EAF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867C1D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8D2EAF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Оригинално пълномощно, издадено на лицето, което е подписало Титулен лист (Форма 6), с което се разрешава на това лице </w:t>
            </w:r>
            <w:r w:rsidR="00943C85" w:rsidRPr="008871D3">
              <w:rPr>
                <w:rFonts w:asciiTheme="majorBidi" w:hAnsiTheme="majorBidi" w:cstheme="majorBidi"/>
                <w:lang w:val="bg-BG"/>
              </w:rPr>
              <w:t xml:space="preserve">(в случаите, когато не е ръководителя на фирмата) </w:t>
            </w:r>
            <w:r w:rsidRPr="008871D3">
              <w:rPr>
                <w:rFonts w:asciiTheme="majorBidi" w:hAnsiTheme="majorBidi" w:cstheme="majorBidi"/>
                <w:lang w:val="bg-BG"/>
              </w:rPr>
              <w:t>да поема зад</w:t>
            </w:r>
            <w:r w:rsidR="00943C85" w:rsidRPr="008871D3">
              <w:rPr>
                <w:rFonts w:asciiTheme="majorBidi" w:hAnsiTheme="majorBidi" w:cstheme="majorBidi"/>
                <w:lang w:val="bg-BG"/>
              </w:rPr>
              <w:t>ължения от името на Претендента</w:t>
            </w:r>
            <w:r w:rsidR="00732844">
              <w:rPr>
                <w:rFonts w:asciiTheme="majorBidi" w:hAnsiTheme="majorBidi" w:cstheme="majorBidi"/>
                <w:lang w:val="bg-BG"/>
              </w:rPr>
              <w:t xml:space="preserve">: 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>Форма 6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и/или Копие от споразумението за консо</w:t>
            </w:r>
            <w:r w:rsidR="00732844">
              <w:rPr>
                <w:rFonts w:asciiTheme="majorBidi" w:hAnsiTheme="majorBidi" w:cstheme="majorBidi"/>
                <w:lang w:val="bg-BG"/>
              </w:rPr>
              <w:t xml:space="preserve">рциум, ако Претендента е такъв: </w:t>
            </w:r>
            <w:r w:rsidR="00867C1D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A31A28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</w:t>
            </w:r>
            <w:r w:rsidR="006E7524" w:rsidRPr="00A31A28">
              <w:rPr>
                <w:rFonts w:asciiTheme="majorBidi" w:hAnsiTheme="majorBidi" w:cstheme="majorBidi"/>
                <w:lang w:val="bg-BG"/>
              </w:rPr>
              <w:t>3 (три)</w:t>
            </w:r>
            <w:r w:rsidR="00943C85" w:rsidRPr="00A31A28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A31A28">
              <w:rPr>
                <w:rFonts w:asciiTheme="majorBidi" w:hAnsiTheme="majorBidi" w:cstheme="majorBidi"/>
                <w:lang w:val="bg-BG"/>
              </w:rPr>
              <w:t>години, заверени от  Претендента, баланс, отчет за приходите и разходите, отчет за паричните потоци, одиторско становище и разбивка</w:t>
            </w:r>
            <w:r w:rsidR="00732844" w:rsidRPr="00A31A28">
              <w:rPr>
                <w:rFonts w:asciiTheme="majorBidi" w:hAnsiTheme="majorBidi" w:cstheme="majorBidi"/>
                <w:lang w:val="bg-BG"/>
              </w:rPr>
              <w:t xml:space="preserve"> на вземанията и дължимите суми: </w:t>
            </w:r>
            <w:r w:rsidR="00867C1D" w:rsidRPr="00A31A28">
              <w:rPr>
                <w:rFonts w:asciiTheme="majorBidi" w:hAnsiTheme="majorBidi" w:cstheme="majorBidi"/>
                <w:b/>
                <w:lang w:val="bg-BG"/>
              </w:rPr>
              <w:t>Форма 1</w:t>
            </w:r>
            <w:r w:rsidR="00732844" w:rsidRPr="00A31A28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50EB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</w:t>
            </w:r>
            <w:r w:rsidR="00732844">
              <w:rPr>
                <w:rFonts w:asciiTheme="majorBidi" w:hAnsiTheme="majorBidi" w:cstheme="majorBidi"/>
                <w:lang w:val="bg-BG"/>
              </w:rPr>
              <w:t>о по несъстоятелност срещу него:</w:t>
            </w:r>
            <w:r w:rsidR="00DB3A03">
              <w:rPr>
                <w:rFonts w:asciiTheme="majorBidi" w:hAnsiTheme="majorBidi" w:cstheme="majorBidi"/>
                <w:b/>
                <w:lang w:val="bg-BG"/>
              </w:rPr>
              <w:t xml:space="preserve"> Форма 1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DB3A03" w:rsidRDefault="004D3FB6" w:rsidP="00F8004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</w:t>
            </w:r>
            <w:r w:rsidR="00732844">
              <w:rPr>
                <w:rFonts w:asciiTheme="majorBidi" w:hAnsiTheme="majorBidi" w:cstheme="majorBidi"/>
                <w:lang w:val="bg-BG"/>
              </w:rPr>
              <w:t>одство по ликвидация срещу него:</w:t>
            </w:r>
            <w:r w:rsidR="00DB3A03">
              <w:rPr>
                <w:rFonts w:asciiTheme="majorBidi" w:hAnsiTheme="majorBidi" w:cstheme="majorBidi"/>
                <w:b/>
                <w:lang w:val="bg-BG"/>
              </w:rPr>
              <w:t xml:space="preserve"> Форма 1</w:t>
            </w:r>
            <w:r w:rsidR="00732844" w:rsidRPr="00DB3A03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8D13C5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652C2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А във формат PDF (записани на електронен носител флаш памет и/или компакт диск, който се поставя в Плик А).</w:t>
            </w:r>
            <w:r w:rsidR="00BD168C">
              <w:t xml:space="preserve"> </w:t>
            </w:r>
            <w:r w:rsidR="00BD168C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Плик 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(</w:t>
            </w:r>
            <w:proofErr w:type="spellStart"/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Тендерна</w:t>
            </w:r>
            <w:proofErr w:type="spellEnd"/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гаранция</w:t>
            </w:r>
            <w:r w:rsidRPr="008871D3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791E94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BD168C">
              <w:rPr>
                <w:rFonts w:asciiTheme="majorBidi" w:hAnsiTheme="majorBidi" w:cstheme="majorBidi"/>
                <w:lang w:val="bg-BG"/>
              </w:rPr>
              <w:t xml:space="preserve">Гаранция </w:t>
            </w:r>
            <w:r w:rsidR="00791E94">
              <w:rPr>
                <w:rFonts w:asciiTheme="majorBidi" w:hAnsiTheme="majorBidi" w:cstheme="majorBidi"/>
                <w:lang w:val="bg-BG"/>
              </w:rPr>
              <w:t xml:space="preserve">за участие в </w:t>
            </w:r>
            <w:proofErr w:type="spellStart"/>
            <w:r w:rsidR="00791E94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791E94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791E94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791E94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791E94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791E94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BD168C" w:rsidRPr="000B6DDF">
              <w:rPr>
                <w:rFonts w:asciiTheme="majorBidi" w:hAnsiTheme="majorBidi" w:cstheme="majorBidi"/>
                <w:b/>
                <w:lang w:val="bg-BG"/>
              </w:rPr>
              <w:t>– не се прилага</w:t>
            </w:r>
          </w:p>
        </w:tc>
      </w:tr>
      <w:tr w:rsidR="004D3FB6" w:rsidRPr="008871D3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1D3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Плик В (Търговска част) 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543E6D" w:rsidRDefault="004D3FB6" w:rsidP="00F8004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43E6D">
              <w:rPr>
                <w:rFonts w:asciiTheme="majorBidi" w:hAnsiTheme="majorBidi" w:cstheme="majorBidi"/>
                <w:lang w:val="bg-BG"/>
              </w:rPr>
              <w:t xml:space="preserve">Списък на документите в Плик В; </w:t>
            </w:r>
            <w:r w:rsidRPr="00543E6D">
              <w:rPr>
                <w:rFonts w:asciiTheme="majorBidi" w:hAnsiTheme="majorBidi" w:cstheme="majorBidi"/>
                <w:b/>
                <w:lang w:val="bg-BG"/>
              </w:rPr>
              <w:t>Форма 9</w:t>
            </w:r>
            <w:r w:rsidR="00732844" w:rsidRPr="00543E6D">
              <w:rPr>
                <w:b/>
              </w:rPr>
              <w:t xml:space="preserve"> </w:t>
            </w:r>
            <w:r w:rsidR="00732844" w:rsidRPr="00543E6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 xml:space="preserve">Титулен лист; </w:t>
            </w:r>
            <w:r w:rsidRPr="00732844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 xml:space="preserve"> съгласно изискванията на АСТП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E00961" w:rsidP="00F8004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60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У</w:t>
            </w:r>
            <w:r w:rsidRPr="00E00961">
              <w:rPr>
                <w:rFonts w:asciiTheme="majorBidi" w:hAnsiTheme="majorBidi" w:cstheme="majorBidi"/>
                <w:lang w:val="bg-BG"/>
              </w:rPr>
              <w:t>казания за изготвяне на търговско (ценово) предложение</w:t>
            </w:r>
            <w:r w:rsidR="004D3FB6" w:rsidRPr="008871D3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="004D3FB6" w:rsidRPr="00732844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="004D3FB6" w:rsidRPr="008871D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32844" w:rsidRPr="00732844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</w:t>
            </w:r>
            <w:r w:rsidR="00F8004F">
              <w:rPr>
                <w:rFonts w:asciiTheme="majorBidi" w:hAnsiTheme="majorBidi" w:cstheme="majorBidi"/>
                <w:b/>
                <w:lang w:val="bg-BG"/>
              </w:rPr>
              <w:t>Т</w:t>
            </w:r>
          </w:p>
        </w:tc>
      </w:tr>
      <w:tr w:rsidR="004D3FB6" w:rsidRPr="00E03F90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8871D3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1D3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В във формати PDF, MS Word, Excel формати (записани на електронен носител флаш памет и/или компакт диск, който се прилага/поставя в Плик В).</w:t>
            </w:r>
            <w:r w:rsidR="00BD168C" w:rsidRPr="00161C94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BD168C" w:rsidRPr="00652C28">
              <w:rPr>
                <w:rFonts w:asciiTheme="majorBidi" w:hAnsiTheme="majorBidi" w:cstheme="majorBidi"/>
                <w:b/>
                <w:lang w:val="bg-BG"/>
              </w:rPr>
              <w:t>не се прилага</w:t>
            </w:r>
          </w:p>
        </w:tc>
      </w:tr>
    </w:tbl>
    <w:p w:rsidR="00865004" w:rsidRPr="008871D3" w:rsidRDefault="00865004" w:rsidP="00D4680C">
      <w:pPr>
        <w:spacing w:before="120"/>
        <w:rPr>
          <w:rFonts w:asciiTheme="majorBidi" w:hAnsiTheme="majorBidi" w:cstheme="majorBidi"/>
          <w:sz w:val="20"/>
          <w:lang w:val="bg-BG"/>
        </w:rPr>
      </w:pPr>
    </w:p>
    <w:sectPr w:rsidR="00865004" w:rsidRPr="008871D3" w:rsidSect="00A23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9E" w:rsidRDefault="00F51B9E" w:rsidP="00CF5625">
      <w:r>
        <w:separator/>
      </w:r>
    </w:p>
  </w:endnote>
  <w:endnote w:type="continuationSeparator" w:id="0">
    <w:p w:rsidR="00F51B9E" w:rsidRDefault="00F51B9E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9E" w:rsidRDefault="00F51B9E" w:rsidP="00CF5625">
      <w:r>
        <w:separator/>
      </w:r>
    </w:p>
  </w:footnote>
  <w:footnote w:type="continuationSeparator" w:id="0">
    <w:p w:rsidR="00F51B9E" w:rsidRDefault="00F51B9E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3B" w:rsidRDefault="00FC69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1A30078"/>
    <w:multiLevelType w:val="multilevel"/>
    <w:tmpl w:val="778A8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7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6"/>
  </w:num>
  <w:num w:numId="17">
    <w:abstractNumId w:val="24"/>
  </w:num>
  <w:num w:numId="18">
    <w:abstractNumId w:val="10"/>
  </w:num>
  <w:num w:numId="19">
    <w:abstractNumId w:val="1"/>
  </w:num>
  <w:num w:numId="20">
    <w:abstractNumId w:val="20"/>
  </w:num>
  <w:num w:numId="21">
    <w:abstractNumId w:val="21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2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5B9E"/>
    <w:rsid w:val="00006FFC"/>
    <w:rsid w:val="00007F6B"/>
    <w:rsid w:val="00013183"/>
    <w:rsid w:val="00020658"/>
    <w:rsid w:val="00020973"/>
    <w:rsid w:val="00020BDD"/>
    <w:rsid w:val="00021C7A"/>
    <w:rsid w:val="000241D1"/>
    <w:rsid w:val="000259B9"/>
    <w:rsid w:val="00034803"/>
    <w:rsid w:val="00035BF8"/>
    <w:rsid w:val="00067826"/>
    <w:rsid w:val="00086792"/>
    <w:rsid w:val="00095D9B"/>
    <w:rsid w:val="000A37E1"/>
    <w:rsid w:val="000B6DDF"/>
    <w:rsid w:val="000B6DE7"/>
    <w:rsid w:val="000D19D3"/>
    <w:rsid w:val="000D28ED"/>
    <w:rsid w:val="000E1999"/>
    <w:rsid w:val="00110EA0"/>
    <w:rsid w:val="00111AEF"/>
    <w:rsid w:val="00130AEA"/>
    <w:rsid w:val="00133F5B"/>
    <w:rsid w:val="001347B1"/>
    <w:rsid w:val="00143763"/>
    <w:rsid w:val="00144D5A"/>
    <w:rsid w:val="001559E1"/>
    <w:rsid w:val="0016015E"/>
    <w:rsid w:val="00161C94"/>
    <w:rsid w:val="00175DB1"/>
    <w:rsid w:val="00180588"/>
    <w:rsid w:val="00181B4C"/>
    <w:rsid w:val="00192148"/>
    <w:rsid w:val="001964F6"/>
    <w:rsid w:val="001A36E9"/>
    <w:rsid w:val="001B45A1"/>
    <w:rsid w:val="001B5051"/>
    <w:rsid w:val="001C2F9C"/>
    <w:rsid w:val="001C7AEE"/>
    <w:rsid w:val="001D0C52"/>
    <w:rsid w:val="001D2EB6"/>
    <w:rsid w:val="001F270C"/>
    <w:rsid w:val="001F741F"/>
    <w:rsid w:val="002146E9"/>
    <w:rsid w:val="002148AE"/>
    <w:rsid w:val="0023071B"/>
    <w:rsid w:val="00231589"/>
    <w:rsid w:val="00237406"/>
    <w:rsid w:val="0024039A"/>
    <w:rsid w:val="002434FE"/>
    <w:rsid w:val="002464F0"/>
    <w:rsid w:val="002527DF"/>
    <w:rsid w:val="0025633F"/>
    <w:rsid w:val="00256F5C"/>
    <w:rsid w:val="002712F9"/>
    <w:rsid w:val="00280D68"/>
    <w:rsid w:val="00284E70"/>
    <w:rsid w:val="00290538"/>
    <w:rsid w:val="002938E2"/>
    <w:rsid w:val="002B42E0"/>
    <w:rsid w:val="002B7D2F"/>
    <w:rsid w:val="002F0B44"/>
    <w:rsid w:val="002F1774"/>
    <w:rsid w:val="002F3843"/>
    <w:rsid w:val="002F4475"/>
    <w:rsid w:val="002F5C28"/>
    <w:rsid w:val="002F666F"/>
    <w:rsid w:val="002F6B13"/>
    <w:rsid w:val="00307E84"/>
    <w:rsid w:val="003129AC"/>
    <w:rsid w:val="00332B90"/>
    <w:rsid w:val="0033772C"/>
    <w:rsid w:val="0034558B"/>
    <w:rsid w:val="003539FA"/>
    <w:rsid w:val="0036253A"/>
    <w:rsid w:val="0036368A"/>
    <w:rsid w:val="0036548C"/>
    <w:rsid w:val="00365700"/>
    <w:rsid w:val="00366FEE"/>
    <w:rsid w:val="00376E6A"/>
    <w:rsid w:val="003847A3"/>
    <w:rsid w:val="003859D6"/>
    <w:rsid w:val="00385CAB"/>
    <w:rsid w:val="003932E4"/>
    <w:rsid w:val="003939DF"/>
    <w:rsid w:val="003942DC"/>
    <w:rsid w:val="003A6AEA"/>
    <w:rsid w:val="003B3808"/>
    <w:rsid w:val="003B47B1"/>
    <w:rsid w:val="003C0F04"/>
    <w:rsid w:val="003E01EC"/>
    <w:rsid w:val="003E1FB4"/>
    <w:rsid w:val="003E4487"/>
    <w:rsid w:val="003F151D"/>
    <w:rsid w:val="003F185E"/>
    <w:rsid w:val="00412392"/>
    <w:rsid w:val="00423664"/>
    <w:rsid w:val="00447611"/>
    <w:rsid w:val="00454172"/>
    <w:rsid w:val="00470039"/>
    <w:rsid w:val="00473B5A"/>
    <w:rsid w:val="004747CC"/>
    <w:rsid w:val="0047727D"/>
    <w:rsid w:val="00480B74"/>
    <w:rsid w:val="0048547B"/>
    <w:rsid w:val="00485753"/>
    <w:rsid w:val="00492852"/>
    <w:rsid w:val="004A69CD"/>
    <w:rsid w:val="004A6B2A"/>
    <w:rsid w:val="004B5528"/>
    <w:rsid w:val="004D3FB6"/>
    <w:rsid w:val="00517765"/>
    <w:rsid w:val="00521B0F"/>
    <w:rsid w:val="00530CA6"/>
    <w:rsid w:val="00532EB5"/>
    <w:rsid w:val="00534CF4"/>
    <w:rsid w:val="00543E6D"/>
    <w:rsid w:val="005470A8"/>
    <w:rsid w:val="005542B1"/>
    <w:rsid w:val="00563332"/>
    <w:rsid w:val="00574EDD"/>
    <w:rsid w:val="00580D62"/>
    <w:rsid w:val="00584CB7"/>
    <w:rsid w:val="00592A8F"/>
    <w:rsid w:val="00596C3E"/>
    <w:rsid w:val="005A334D"/>
    <w:rsid w:val="005A50EA"/>
    <w:rsid w:val="005B4302"/>
    <w:rsid w:val="005B773D"/>
    <w:rsid w:val="005C59D5"/>
    <w:rsid w:val="005C62EB"/>
    <w:rsid w:val="005D15FD"/>
    <w:rsid w:val="005E0170"/>
    <w:rsid w:val="005E59D3"/>
    <w:rsid w:val="005F24AA"/>
    <w:rsid w:val="005F6FAC"/>
    <w:rsid w:val="00600E57"/>
    <w:rsid w:val="00603301"/>
    <w:rsid w:val="006111EB"/>
    <w:rsid w:val="006206E8"/>
    <w:rsid w:val="00622D31"/>
    <w:rsid w:val="0062357B"/>
    <w:rsid w:val="006268C7"/>
    <w:rsid w:val="006317C1"/>
    <w:rsid w:val="00644011"/>
    <w:rsid w:val="006456FF"/>
    <w:rsid w:val="00652C28"/>
    <w:rsid w:val="00657931"/>
    <w:rsid w:val="00660A81"/>
    <w:rsid w:val="006706D6"/>
    <w:rsid w:val="00673495"/>
    <w:rsid w:val="00676F9F"/>
    <w:rsid w:val="006863FD"/>
    <w:rsid w:val="00693212"/>
    <w:rsid w:val="00693918"/>
    <w:rsid w:val="0069495E"/>
    <w:rsid w:val="00695617"/>
    <w:rsid w:val="006B5A56"/>
    <w:rsid w:val="006B6412"/>
    <w:rsid w:val="006D1179"/>
    <w:rsid w:val="006D3F58"/>
    <w:rsid w:val="006E01DD"/>
    <w:rsid w:val="006E0925"/>
    <w:rsid w:val="006E7524"/>
    <w:rsid w:val="00710A30"/>
    <w:rsid w:val="00717195"/>
    <w:rsid w:val="00720E0A"/>
    <w:rsid w:val="00732844"/>
    <w:rsid w:val="00735D5C"/>
    <w:rsid w:val="00743B2F"/>
    <w:rsid w:val="007555A0"/>
    <w:rsid w:val="007678A7"/>
    <w:rsid w:val="00791E94"/>
    <w:rsid w:val="007920C0"/>
    <w:rsid w:val="00792259"/>
    <w:rsid w:val="007A0682"/>
    <w:rsid w:val="007A2731"/>
    <w:rsid w:val="007A5623"/>
    <w:rsid w:val="007B093D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20466"/>
    <w:rsid w:val="00820F4F"/>
    <w:rsid w:val="00820F5B"/>
    <w:rsid w:val="008217CD"/>
    <w:rsid w:val="00831D84"/>
    <w:rsid w:val="008416DE"/>
    <w:rsid w:val="008450B1"/>
    <w:rsid w:val="00860E03"/>
    <w:rsid w:val="0086322C"/>
    <w:rsid w:val="00865004"/>
    <w:rsid w:val="00867C1D"/>
    <w:rsid w:val="008814F5"/>
    <w:rsid w:val="008871D3"/>
    <w:rsid w:val="008A3A13"/>
    <w:rsid w:val="008C0CD6"/>
    <w:rsid w:val="008C1BEC"/>
    <w:rsid w:val="008C68E5"/>
    <w:rsid w:val="008D0F04"/>
    <w:rsid w:val="008D1B1B"/>
    <w:rsid w:val="008D2EAF"/>
    <w:rsid w:val="008E2D6B"/>
    <w:rsid w:val="009067B8"/>
    <w:rsid w:val="00912310"/>
    <w:rsid w:val="009165E3"/>
    <w:rsid w:val="00926497"/>
    <w:rsid w:val="009422D3"/>
    <w:rsid w:val="00942F88"/>
    <w:rsid w:val="00943C85"/>
    <w:rsid w:val="00950F35"/>
    <w:rsid w:val="00965E21"/>
    <w:rsid w:val="00977AE5"/>
    <w:rsid w:val="00977C3F"/>
    <w:rsid w:val="00982273"/>
    <w:rsid w:val="009C324F"/>
    <w:rsid w:val="009C7931"/>
    <w:rsid w:val="009E2ABB"/>
    <w:rsid w:val="00A0383A"/>
    <w:rsid w:val="00A23CA7"/>
    <w:rsid w:val="00A25784"/>
    <w:rsid w:val="00A27428"/>
    <w:rsid w:val="00A31A28"/>
    <w:rsid w:val="00A348A6"/>
    <w:rsid w:val="00A34D64"/>
    <w:rsid w:val="00A35462"/>
    <w:rsid w:val="00A4317E"/>
    <w:rsid w:val="00A46156"/>
    <w:rsid w:val="00A5729C"/>
    <w:rsid w:val="00A803D3"/>
    <w:rsid w:val="00A96721"/>
    <w:rsid w:val="00AA6595"/>
    <w:rsid w:val="00AC26CE"/>
    <w:rsid w:val="00AC64A4"/>
    <w:rsid w:val="00AD1C91"/>
    <w:rsid w:val="00AD642A"/>
    <w:rsid w:val="00AE1DF0"/>
    <w:rsid w:val="00AF20AB"/>
    <w:rsid w:val="00B028E6"/>
    <w:rsid w:val="00B038A8"/>
    <w:rsid w:val="00B05F2E"/>
    <w:rsid w:val="00B14F3F"/>
    <w:rsid w:val="00B23B86"/>
    <w:rsid w:val="00B30269"/>
    <w:rsid w:val="00B32825"/>
    <w:rsid w:val="00B744CE"/>
    <w:rsid w:val="00B7736A"/>
    <w:rsid w:val="00B84C3E"/>
    <w:rsid w:val="00BA2592"/>
    <w:rsid w:val="00BB4B13"/>
    <w:rsid w:val="00BC0CF3"/>
    <w:rsid w:val="00BC1C56"/>
    <w:rsid w:val="00BC603C"/>
    <w:rsid w:val="00BC6249"/>
    <w:rsid w:val="00BD154C"/>
    <w:rsid w:val="00BD168C"/>
    <w:rsid w:val="00BE1F52"/>
    <w:rsid w:val="00BF2908"/>
    <w:rsid w:val="00BF3749"/>
    <w:rsid w:val="00BF6EBF"/>
    <w:rsid w:val="00C00414"/>
    <w:rsid w:val="00C034A8"/>
    <w:rsid w:val="00C043FB"/>
    <w:rsid w:val="00C21A8B"/>
    <w:rsid w:val="00C24C1F"/>
    <w:rsid w:val="00C26764"/>
    <w:rsid w:val="00C32373"/>
    <w:rsid w:val="00C33E36"/>
    <w:rsid w:val="00C35CEA"/>
    <w:rsid w:val="00C36136"/>
    <w:rsid w:val="00C475D8"/>
    <w:rsid w:val="00C53A0A"/>
    <w:rsid w:val="00C714F5"/>
    <w:rsid w:val="00C83AD7"/>
    <w:rsid w:val="00C95BCC"/>
    <w:rsid w:val="00CA17BA"/>
    <w:rsid w:val="00CA3E2C"/>
    <w:rsid w:val="00CA7926"/>
    <w:rsid w:val="00CB2461"/>
    <w:rsid w:val="00CB6A10"/>
    <w:rsid w:val="00CB73D5"/>
    <w:rsid w:val="00CC6524"/>
    <w:rsid w:val="00CD637E"/>
    <w:rsid w:val="00CE0ABD"/>
    <w:rsid w:val="00CF4670"/>
    <w:rsid w:val="00CF5625"/>
    <w:rsid w:val="00D202A2"/>
    <w:rsid w:val="00D26CE1"/>
    <w:rsid w:val="00D359B9"/>
    <w:rsid w:val="00D4031A"/>
    <w:rsid w:val="00D4680C"/>
    <w:rsid w:val="00D54C62"/>
    <w:rsid w:val="00D56183"/>
    <w:rsid w:val="00D63391"/>
    <w:rsid w:val="00D6701E"/>
    <w:rsid w:val="00D8369C"/>
    <w:rsid w:val="00D905C4"/>
    <w:rsid w:val="00D97809"/>
    <w:rsid w:val="00DA3E76"/>
    <w:rsid w:val="00DA4EF3"/>
    <w:rsid w:val="00DB3A03"/>
    <w:rsid w:val="00DC2BFA"/>
    <w:rsid w:val="00DD5C7F"/>
    <w:rsid w:val="00DD7127"/>
    <w:rsid w:val="00DE0193"/>
    <w:rsid w:val="00DE3CDC"/>
    <w:rsid w:val="00DF7C07"/>
    <w:rsid w:val="00E003C7"/>
    <w:rsid w:val="00E00961"/>
    <w:rsid w:val="00E03F90"/>
    <w:rsid w:val="00E11469"/>
    <w:rsid w:val="00E1392A"/>
    <w:rsid w:val="00E14748"/>
    <w:rsid w:val="00E21E8A"/>
    <w:rsid w:val="00E23026"/>
    <w:rsid w:val="00E32574"/>
    <w:rsid w:val="00E4197E"/>
    <w:rsid w:val="00E465C2"/>
    <w:rsid w:val="00E60220"/>
    <w:rsid w:val="00E66619"/>
    <w:rsid w:val="00E70BD2"/>
    <w:rsid w:val="00E80C2E"/>
    <w:rsid w:val="00E9098E"/>
    <w:rsid w:val="00E9583C"/>
    <w:rsid w:val="00EB6EDF"/>
    <w:rsid w:val="00EC41CF"/>
    <w:rsid w:val="00EC652C"/>
    <w:rsid w:val="00ED0FA6"/>
    <w:rsid w:val="00ED4859"/>
    <w:rsid w:val="00ED4B15"/>
    <w:rsid w:val="00ED652D"/>
    <w:rsid w:val="00F01186"/>
    <w:rsid w:val="00F0594E"/>
    <w:rsid w:val="00F0679E"/>
    <w:rsid w:val="00F110EC"/>
    <w:rsid w:val="00F13670"/>
    <w:rsid w:val="00F238BF"/>
    <w:rsid w:val="00F314C5"/>
    <w:rsid w:val="00F32C13"/>
    <w:rsid w:val="00F3399A"/>
    <w:rsid w:val="00F33B50"/>
    <w:rsid w:val="00F51B9E"/>
    <w:rsid w:val="00F62360"/>
    <w:rsid w:val="00F66E66"/>
    <w:rsid w:val="00F73250"/>
    <w:rsid w:val="00F73DBA"/>
    <w:rsid w:val="00F8004F"/>
    <w:rsid w:val="00F810E1"/>
    <w:rsid w:val="00F84B4B"/>
    <w:rsid w:val="00F84D33"/>
    <w:rsid w:val="00FA6764"/>
    <w:rsid w:val="00FB284D"/>
    <w:rsid w:val="00FB357F"/>
    <w:rsid w:val="00FB3B5B"/>
    <w:rsid w:val="00FB65B5"/>
    <w:rsid w:val="00FC693B"/>
    <w:rsid w:val="00FD245E"/>
    <w:rsid w:val="00FD377C"/>
    <w:rsid w:val="00FD37B3"/>
    <w:rsid w:val="00FD39E2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styleId="af1">
    <w:name w:val="Emphasis"/>
    <w:basedOn w:val="a0"/>
    <w:uiPriority w:val="20"/>
    <w:qFormat/>
    <w:rsid w:val="00A96721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29FD-3921-4B38-ADA7-BB7092A5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Георги Георгиев Бърдаров</cp:lastModifiedBy>
  <cp:revision>103</cp:revision>
  <cp:lastPrinted>2018-01-17T05:59:00Z</cp:lastPrinted>
  <dcterms:created xsi:type="dcterms:W3CDTF">2017-08-17T06:45:00Z</dcterms:created>
  <dcterms:modified xsi:type="dcterms:W3CDTF">2018-03-12T11:38:00Z</dcterms:modified>
</cp:coreProperties>
</file>