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A" w:rsidRPr="009E413B" w:rsidRDefault="00AE6D5A" w:rsidP="002D6EFE">
      <w:pPr>
        <w:widowControl w:val="0"/>
        <w:spacing w:after="120" w:line="240" w:lineRule="auto"/>
        <w:ind w:firstLine="708"/>
        <w:jc w:val="right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ПРИЛОЖЕНИЕ </w:t>
      </w:r>
    </w:p>
    <w:p w:rsidR="002D6EFE" w:rsidRPr="009E413B" w:rsidRDefault="002D6EFE" w:rsidP="002D6EFE">
      <w:pPr>
        <w:widowControl w:val="0"/>
        <w:spacing w:after="120" w:line="240" w:lineRule="auto"/>
        <w:ind w:firstLine="708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B80708" w:rsidRPr="009E413B" w:rsidRDefault="00FF2C38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МЕТОДИКА ЗА ОПРЕДЕЛЯНЕ НА ОЦЕНКА НА ОФЕРТИ</w:t>
      </w:r>
      <w:r w:rsidR="00AE6D5A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ЗА ОБЩЕСТВЕНА ПОРЪЧКА С ПРЕДМЕТ: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cr/>
      </w:r>
      <w:r w:rsidR="00B80708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„Проектиране и изпълнение на обект: „Изграждане и развитие на център за върхови постижения „Наследство БГ“ – реконструкция и модернизация на баня „Овча купел“ в </w:t>
      </w:r>
      <w:proofErr w:type="spellStart"/>
      <w:r w:rsidR="00B80708" w:rsidRPr="009E413B">
        <w:rPr>
          <w:rFonts w:ascii="Times New Roman" w:hAnsi="Times New Roman" w:cs="Times New Roman"/>
          <w:b/>
          <w:sz w:val="24"/>
          <w:szCs w:val="24"/>
          <w:lang w:val="bg-BG"/>
        </w:rPr>
        <w:t>уелнес</w:t>
      </w:r>
      <w:proofErr w:type="spellEnd"/>
      <w:r w:rsidR="00B80708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спа с ползване на минералната вода, с идентификатор 68134.4336.550.1, УПИ I, кв. 39 по плана на м. „Овча купел“, ж.к. Овча купел, бул. „Овча купел“ № 2, район „Овча купел“, гр. София – I-ви етап“, в две обособени позиции:</w:t>
      </w:r>
    </w:p>
    <w:p w:rsidR="00B80708" w:rsidRPr="009E413B" w:rsidRDefault="00B80708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708" w:rsidRPr="009E413B" w:rsidRDefault="00B80708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Обособена позиция № 1 „Проектиране и изпълнение на обект: „Изграждане и развитие на център за върхови постижения „Наследство БГ“ – реконструкция и модернизация на баня „Овча купел“ в </w:t>
      </w:r>
      <w:proofErr w:type="spellStart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уелнес</w:t>
      </w:r>
      <w:proofErr w:type="spellEnd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спа с ползване на минералната вода, с идентификатор 68134.4336.550.1, УПИ I, кв. 39 по плана на м. „Овча купел“, ж.к. Овча купел, бул. „Овча купел“ № 2, район „Овча купел“, гр. София – I-ви етап“.</w:t>
      </w:r>
    </w:p>
    <w:p w:rsidR="00B80708" w:rsidRPr="009E413B" w:rsidRDefault="00B80708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708" w:rsidRPr="009E413B" w:rsidRDefault="00B80708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Обособена позиция № 2 „Изготвяне на комплексен доклад за съответствието на инвестиционен проект и упражняване на строителен надзор на СМР на обект „Изграждане и развитие на център за върхови постижения „Наследство БГ“ – реконструкция и модернизация на баня „Овча купел“ в </w:t>
      </w:r>
      <w:proofErr w:type="spellStart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уелнес</w:t>
      </w:r>
      <w:proofErr w:type="spellEnd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спа с ползване на минералната вода, с идентификатор 68134.4336.550.1, УПИ I, кв. 39 по плана на м. „Овча купел“, ж.к. Овча купел, бул. „Овча купел“ № 2, район „Овча купел“, гр. София – I-ви етап“</w:t>
      </w:r>
    </w:p>
    <w:p w:rsidR="00B80708" w:rsidRPr="009E413B" w:rsidRDefault="00B80708" w:rsidP="00B80708">
      <w:pPr>
        <w:rPr>
          <w:b/>
          <w:bCs/>
          <w:caps/>
          <w:lang w:val="bg-BG"/>
        </w:rPr>
      </w:pPr>
    </w:p>
    <w:p w:rsidR="003861DE" w:rsidRPr="009E413B" w:rsidRDefault="003861DE" w:rsidP="00B807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Обществената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поръчка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възлага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„икономически</w:t>
      </w:r>
      <w:r w:rsidR="008B5F8F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най-изгодната</w:t>
      </w:r>
      <w:r w:rsidR="008B5F8F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оферта”.</w:t>
      </w:r>
    </w:p>
    <w:p w:rsidR="003861DE" w:rsidRPr="009E413B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6F3D" w:rsidRPr="009E413B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Критерият за оценка на </w:t>
      </w:r>
      <w:r w:rsidR="00E66F3D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12531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="00E66F3D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1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критерий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за възлагане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„оптимално</w:t>
      </w:r>
      <w:r w:rsidR="006967E7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съотношение</w:t>
      </w:r>
      <w:r w:rsidR="006967E7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качество/цена“</w:t>
      </w:r>
      <w:r w:rsidR="006967E7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чл. 70, ал. 2, т. 3 от ЗОП.</w:t>
      </w:r>
    </w:p>
    <w:p w:rsidR="00E66F3D" w:rsidRPr="009E413B" w:rsidRDefault="00E66F3D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  <w:t xml:space="preserve">Критерият за оценка на 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12531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2</w:t>
      </w:r>
      <w:r w:rsidR="006967E7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критерий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за възлагане 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„най-ниска цена“</w:t>
      </w:r>
      <w:r w:rsidR="008B5F8F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чл. 70, ал. 2, т. 1от</w:t>
      </w:r>
      <w:r w:rsidR="00D42BA3" w:rsidRPr="009E413B">
        <w:rPr>
          <w:rFonts w:ascii="Times New Roman" w:hAnsi="Times New Roman" w:cs="Times New Roman"/>
          <w:sz w:val="24"/>
          <w:szCs w:val="24"/>
          <w:lang w:val="bg-BG"/>
        </w:rPr>
        <w:t>ЗОП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718A" w:rsidRPr="009E413B" w:rsidRDefault="0066718A" w:rsidP="002D6EF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Ценовото предложение следва да бъде изготвено, съгласно </w:t>
      </w:r>
      <w:r w:rsidRPr="009E413B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образеца на ценово предложение, в зависимост от позицията, за която участникът подава оферта.</w:t>
      </w:r>
    </w:p>
    <w:p w:rsidR="003861DE" w:rsidRPr="009E413B" w:rsidRDefault="00D90864" w:rsidP="002D6E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12531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1</w:t>
      </w:r>
      <w:r w:rsidR="006967E7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Класирането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офертите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низходящ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ред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получената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комплексна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оценка, като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67E7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място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класира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офертата с най-висока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оценка. Участникът, класиран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място, се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изпълнител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обществената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DE" w:rsidRPr="009E413B">
        <w:rPr>
          <w:rFonts w:ascii="Times New Roman" w:hAnsi="Times New Roman" w:cs="Times New Roman"/>
          <w:sz w:val="24"/>
          <w:szCs w:val="24"/>
          <w:lang w:val="bg-BG"/>
        </w:rPr>
        <w:t>поръчка.</w:t>
      </w:r>
    </w:p>
    <w:p w:rsidR="003861DE" w:rsidRPr="009E413B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Показатели и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относителната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тежест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комплексната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3212D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офертите:</w:t>
      </w:r>
    </w:p>
    <w:p w:rsidR="003861DE" w:rsidRPr="009E413B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ab/>
        <w:t>Критерий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оценка – „оптимално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съотношение</w:t>
      </w:r>
      <w:r w:rsidR="008B5F8F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качество/цена”;</w:t>
      </w:r>
    </w:p>
    <w:p w:rsidR="003861DE" w:rsidRPr="009E413B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ab/>
        <w:t>Общата (комплексна) оценка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всяка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оферта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определя, като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сума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оценките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показатели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изразени в точки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="00FF33DB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формули:</w:t>
      </w:r>
    </w:p>
    <w:p w:rsidR="00FF2C38" w:rsidRPr="009E413B" w:rsidRDefault="00FF2C38" w:rsidP="002D6EFE">
      <w:p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9E413B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Оценката се извършва по посочените показатели и съответните им относителни тежести и съгласно комплексна оценка по следната формула:</w:t>
      </w:r>
    </w:p>
    <w:p w:rsidR="00FF2C38" w:rsidRDefault="00163690" w:rsidP="002D6EFE">
      <w:pPr>
        <w:shd w:val="clear" w:color="auto" w:fill="D9D9D9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КОф</w:t>
      </w:r>
      <w:proofErr w:type="spellEnd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= Т + </w:t>
      </w:r>
      <w:r w:rsidR="00FF2C38" w:rsidRPr="009E413B"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FF2C38" w:rsidRPr="009E413B">
        <w:rPr>
          <w:rFonts w:ascii="Times New Roman" w:hAnsi="Times New Roman" w:cs="Times New Roman"/>
          <w:sz w:val="24"/>
          <w:szCs w:val="24"/>
          <w:lang w:val="bg-BG"/>
        </w:rPr>
        <w:t>, приложима към всеки участник, където:</w:t>
      </w:r>
    </w:p>
    <w:p w:rsidR="009E413B" w:rsidRPr="009E413B" w:rsidRDefault="009E413B" w:rsidP="002D6EFE">
      <w:pPr>
        <w:shd w:val="clear" w:color="auto" w:fill="D9D9D9"/>
        <w:spacing w:after="120" w:line="240" w:lineRule="auto"/>
        <w:ind w:firstLine="851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FF2C38" w:rsidRPr="009E413B" w:rsidRDefault="00FF2C38" w:rsidP="00492DD8">
      <w:pPr>
        <w:tabs>
          <w:tab w:val="right" w:pos="9781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КОф</w:t>
      </w:r>
      <w:proofErr w:type="spellEnd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оценка на офертата</w:t>
      </w:r>
      <w:r w:rsidR="00AE6D5A" w:rsidRPr="009E413B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492DD8" w:rsidRPr="009E413B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F2C38" w:rsidRPr="009E413B" w:rsidRDefault="00FF2C38" w:rsidP="00492DD8">
      <w:pPr>
        <w:tabs>
          <w:tab w:val="right" w:pos="9781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 </w:t>
      </w:r>
      <w:r w:rsidR="00AE6D5A" w:rsidRPr="009E413B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техническа оценка с максимален брой точки – 60 т;</w:t>
      </w:r>
      <w:r w:rsidR="00492DD8" w:rsidRPr="009E413B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F2C38" w:rsidRPr="009E413B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Ц – финансова оценка с максимален брой точки – 40 т.</w:t>
      </w:r>
    </w:p>
    <w:p w:rsidR="00FF2C38" w:rsidRPr="009E413B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2C38" w:rsidRPr="009E413B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1. ТЕХНИЧЕСКА ОЦЕНКА - Т</w:t>
      </w:r>
    </w:p>
    <w:p w:rsidR="00FF2C38" w:rsidRPr="009E413B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Техническата оценка се формира по следната формула:</w:t>
      </w:r>
    </w:p>
    <w:p w:rsidR="00FF2C38" w:rsidRPr="009E413B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Т= Т1+Т2</w:t>
      </w:r>
    </w:p>
    <w:p w:rsidR="00FF2C38" w:rsidRPr="009E413B" w:rsidRDefault="00FF2C38" w:rsidP="002D6EFE">
      <w:pPr>
        <w:tabs>
          <w:tab w:val="left" w:pos="0"/>
          <w:tab w:val="left" w:pos="1211"/>
        </w:tabs>
        <w:spacing w:after="120" w:line="240" w:lineRule="auto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</w:pP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Оценката по показател </w:t>
      </w:r>
      <w:r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Техническа оценка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се поставя въз основа на следните 2 компонента:</w:t>
      </w:r>
    </w:p>
    <w:p w:rsidR="00FF2C38" w:rsidRPr="009E413B" w:rsidRDefault="00FF2C38" w:rsidP="00870A9D">
      <w:pPr>
        <w:pStyle w:val="ListParagraph"/>
        <w:numPr>
          <w:ilvl w:val="0"/>
          <w:numId w:val="10"/>
        </w:numPr>
        <w:tabs>
          <w:tab w:val="left" w:pos="0"/>
        </w:tabs>
        <w:spacing w:after="12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Т1 </w:t>
      </w:r>
      <w:r w:rsidR="00AE6D5A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–</w:t>
      </w:r>
      <w:r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„Организация и изпълнение на проектирането“. Максимален брой точки – 30</w:t>
      </w:r>
      <w:r w:rsidR="00234497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точки.</w:t>
      </w:r>
      <w:r w:rsidR="00870A9D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Оценката се извършва, както следва:</w:t>
      </w:r>
    </w:p>
    <w:p w:rsidR="00FF2C38" w:rsidRPr="009E413B" w:rsidRDefault="00FF2C3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Участниците следва да направят изложение в свободен текст, в което да опишат своето виждане за изпълнението на проектирането - етапи, работен процес и последователност на изпълнение, времево съвместяване на дейностите (</w:t>
      </w:r>
      <w:r w:rsidRPr="009E413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включително и времеви график</w:t>
      </w: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предмет на поръчката, като изложат структурата и начина на изпълнение на поставената задача, при съобразяване на: взаимна обвързаност между отделните части на инвестиционния проект (ИП), времетраене на съгласуване на ИП с всички необходими </w:t>
      </w:r>
      <w:proofErr w:type="spellStart"/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съгласувателни</w:t>
      </w:r>
      <w:proofErr w:type="spellEnd"/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институции, така че да бъде представен краен продукт, за който след разглеждането и приемането му да може да бъде издадено разрешение за строеж.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дейността.</w:t>
      </w:r>
    </w:p>
    <w:p w:rsidR="00FF2C38" w:rsidRPr="009E413B" w:rsidRDefault="0097515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всеки участник по този показател комисията присъжда </w:t>
      </w:r>
      <w:r w:rsidR="00B35203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746436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746436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т.</w:t>
      </w:r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, определени по следния начин:</w:t>
      </w:r>
    </w:p>
    <w:p w:rsidR="00870A9D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30</w:t>
      </w:r>
      <w:r w:rsidR="00E1253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т.</w:t>
      </w:r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предложението на участника отговаря на описаните по-горе изисквания на възложителя, като ги надвишава по следния начин: обосновката съдържа подробно описание на практическото организиране на работния процес, описани са подробно и последователно всички основни дейности по изготвяне на техническата документация и етапите, през които преминава изпълнението на поръчката, като е отчетена спецификата на обекта. Представен е времеви график за организация на работата, съобразен с предложения от участника общ срок за изпълнение, като планираната продължителност за всяка дейност е подробно обоснована и кореспондира на конкретните особености на съответния обект, и на сроковете, установени съгласно нормативен акт и/или необходими според обичайната практика в областта на проектирането; взети са предвид необходимите </w:t>
      </w:r>
      <w:proofErr w:type="spellStart"/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съгласувателни</w:t>
      </w:r>
      <w:proofErr w:type="spellEnd"/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инстанции и контролни органи. Предложена е организационна структура, демонстрираща добро управление на човешкия ресурс във връзка с изпълнението на поръчката. Подробно е описан начинът, по който се разпределят задачите и отговорностите между експертите в екипа на участника, включително във времево отношение, разписана е конкретната функция на всеки един експерт, като е  отчетено и взаимодействието между отделните специалисти в екипа; предвидени са механизми на вътрешен контрол в организацията, обуславящи в по - висока степен навременното изпълнение на поръчката и високото качество на крайния продукт, както и мерки и механизми, гарантиращи навременното изпълнение. Представен е процесът на комуникация с възложителя по начин, гарантиращ точното изпълнение на договора и реализирането му в срок.</w:t>
      </w:r>
    </w:p>
    <w:p w:rsidR="00870A9D" w:rsidRPr="009E413B" w:rsidRDefault="00870A9D" w:rsidP="00870A9D">
      <w:pPr>
        <w:pStyle w:val="ListParagraph"/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F2C38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т.</w:t>
      </w:r>
      <w:r w:rsidR="00FF2C38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 </w:t>
      </w:r>
      <w:r w:rsidR="00FF2C38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 на участника отговаря на изискванията на възложителя, но е налице едно или повече от следните обстоятелства: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обосновката и времевия график се съдържат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описанието на всички етапи, през които преминава изпълнението;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 xml:space="preserve">представен е времеви график за организация на работата, съобразен с предложения от участника общ срок за изпълнение, но са допуснати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планираната продължителност за всяка дейност;  </w:t>
      </w:r>
    </w:p>
    <w:p w:rsidR="002D6EFE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представената разработка се съдържат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/пропуски при описанието на начините на разпределение на задачите и отговорностите между експертите и/или в мерките за управление на работните процеси, и/или при обосновката как посочените мерки и механизми ще спомогнат за навременното изпълнение.</w:t>
      </w:r>
    </w:p>
    <w:p w:rsidR="00870A9D" w:rsidRPr="009E413B" w:rsidRDefault="00870A9D" w:rsidP="00870A9D">
      <w:pPr>
        <w:tabs>
          <w:tab w:val="left" w:pos="-1701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746436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–</w:t>
      </w:r>
      <w:r w:rsidR="00697AAC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предложението на участника отговаря на изискванията на възложителя, но е налице едно или повече от следните обстоятелства: 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обосновката и времевия график има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/пропуски в при планираната продължителност за всяка дейност;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/пропуски при описанието на последователността на всички етапи, през които преминава изпълнението;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е представен времеви график за организация на работата, съобразен с предложения от участника общ срок за изпълнение, но в описанието на планираната продължителност за всяка дейност има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/пропуски, свързани с конкретните особености на съответния обект и/или с оглед сроковете, установени съгласно нормативен акт; 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представената обосновка се съдържат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описанието на предложена организационна структура; 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представената обосновка се съдържат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в мерките за управление на работните процеси, </w:t>
      </w:r>
    </w:p>
    <w:p w:rsidR="00FF2C38" w:rsidRPr="009E413B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и/или в обосновката не са ясно посочени мерките и механизмите за управление на работните процеси, гарантиращи изпълнението на договора.</w:t>
      </w:r>
    </w:p>
    <w:p w:rsidR="00870A9D" w:rsidRPr="009E413B" w:rsidRDefault="00870A9D" w:rsidP="002D6EFE">
      <w:pPr>
        <w:spacing w:after="120" w:line="240" w:lineRule="auto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FF2C38" w:rsidRPr="009E413B" w:rsidRDefault="00FF2C38" w:rsidP="00870A9D">
      <w:pPr>
        <w:pStyle w:val="ListParagraph"/>
        <w:numPr>
          <w:ilvl w:val="0"/>
          <w:numId w:val="10"/>
        </w:numPr>
        <w:tabs>
          <w:tab w:val="left" w:pos="0"/>
        </w:tabs>
        <w:spacing w:after="12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Т2 – Предложение за изпълнение на строителството с максимален брой точки – </w:t>
      </w:r>
      <w:r w:rsidR="00B35203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234497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точки</w:t>
      </w:r>
      <w:r w:rsidR="00870A9D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FF2C38" w:rsidRPr="009E413B" w:rsidRDefault="00FF2C38" w:rsidP="002D6EFE">
      <w:pPr>
        <w:spacing w:after="120" w:line="240" w:lineRule="auto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</w:pP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Участниците следва да направят изложение в свободен текст, в което да опишат своето виждане за изпълнението на строителството. Участникът следва да опише своето предложение за изпълнение на строителството, включително предвиждани технологии за изпълнение (съобразно </w:t>
      </w:r>
      <w:r w:rsidR="00DC4232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идеен проект</w:t>
      </w: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както и последователността и </w:t>
      </w:r>
      <w:proofErr w:type="spellStart"/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взаимообвързаността</w:t>
      </w:r>
      <w:proofErr w:type="spellEnd"/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строителните дейности. В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секи Участник следва да направи подробно описание на: предлаганата от него концепция за </w:t>
      </w:r>
      <w:r w:rsidR="007F58FB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изпълнение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съгласно изискванията на Възложителя; технологията за изпълнение на СМР</w:t>
      </w:r>
      <w:r w:rsidR="00163690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и КРР</w:t>
      </w:r>
      <w:r w:rsidR="007F58FB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,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съобразено с технологичните изисквания за тях, заложени в </w:t>
      </w:r>
      <w:r w:rsidR="00DC4232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идеен проект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, вкл. и при съобразяване по отношение на технологичните ограничения в процесите.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поръчката, на база представените данни в </w:t>
      </w:r>
      <w:r w:rsidR="00DC4232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и</w:t>
      </w:r>
      <w:r w:rsidR="00DC4232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деен проект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.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 (строителство) и съпътстващите дейности. Участниците следва да направят пълно описание на начините за разпределение на дейностите и отговорностите между предлаганите от него специалисти; отношенията и връзките на контрол, взаимодействие и субординация</w:t>
      </w:r>
      <w:r w:rsidR="007F58FB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,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както между предлаганите от него специалисти, така и в отношенията с Възложителя и останалите участници по начин, гарантиращ  качественото и навременно изпълнение на дейностите. Всеки Участник следва да разпише подхода за изпълнение на предмета на поръчката, отнасящ се до основните етапи на изпълнение при евентуалното възлагане на договора и да предложи последователността и </w:t>
      </w:r>
      <w:proofErr w:type="spellStart"/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взаимообвързаността</w:t>
      </w:r>
      <w:proofErr w:type="spellEnd"/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на предвидените от него дейности в зависимост от представения технологичен подход за постигането на целите на договора, включително чрез определяне на тяхната продължителност,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lastRenderedPageBreak/>
        <w:t xml:space="preserve">описана в </w:t>
      </w:r>
      <w:r w:rsidR="00DC4232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и</w:t>
      </w:r>
      <w:r w:rsidR="00DC4232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дейния проект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. Следва да се обхванат всички дейности, необходими за изпълнението на строителните работи, подготвителните дейности за СМР</w:t>
      </w:r>
      <w:r w:rsidR="00163690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и КРР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, дейностите по изпълнението на строително-монтажните работи, тестванията, въвеждането на обектите в експлоатация, както и всички други дейности, необходими за постигане целите на договора. Освен това следва да се направи описание на видовете </w:t>
      </w:r>
      <w:r w:rsidR="007F58FB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реставрационни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работи и видовете СМР </w:t>
      </w:r>
      <w:r w:rsidR="00163690"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 КРР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 тяхната последователност на изпълнение. Описанието следва да отговаря на изискванията на възложителя, посочени в указанията, </w:t>
      </w:r>
      <w:r w:rsidR="00DC4232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Идейният проект</w:t>
      </w:r>
      <w:r w:rsidR="00E3657E"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 на действащото законодателство, на съществуващите технически изисквания и стандарти, и да е съобразена с предмета на поръчката. </w:t>
      </w:r>
    </w:p>
    <w:p w:rsidR="00FF2C38" w:rsidRPr="009E413B" w:rsidRDefault="00FF2C3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всеки участник по този показател комисията присъжда </w:t>
      </w:r>
      <w:r w:rsidR="00B35203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746436" w:rsidRPr="009E41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746436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746436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т.</w:t>
      </w:r>
      <w:r w:rsidRPr="009E413B">
        <w:rPr>
          <w:rFonts w:ascii="Times New Roman" w:eastAsia="Calibri" w:hAnsi="Times New Roman" w:cs="Times New Roman"/>
          <w:sz w:val="24"/>
          <w:szCs w:val="24"/>
          <w:lang w:val="bg-BG"/>
        </w:rPr>
        <w:t>, определени по следния начин:</w:t>
      </w:r>
    </w:p>
    <w:p w:rsidR="00870A9D" w:rsidRPr="009E413B" w:rsidRDefault="00870A9D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F2C38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30</w:t>
      </w:r>
      <w:r w:rsidR="00B0132F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точки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предложението на участника отговаря на описаните по - горе изисквания на възложителя, като ги надвишава по следния начин: Предложеното решение във всички аспекти води до ефективно съчетание на градска среда и осигуряване на безопасно улично движение, ясно и подробно е описана технологията за изпълнение на СМР</w:t>
      </w:r>
      <w:r w:rsidR="00163690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 КРР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при пълно съобразяване и съответствие с технологичните изисквания за тях, заложени в </w:t>
      </w:r>
      <w:r w:rsidR="00DC4232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вкл. по отношение на технологичните ограничения в процесите и специфичните условия за изпълнение през съответния период на годината, атмосферните влияния и особеностите на терена. Направено е описание на техническите и функционални характеристики на основните материали, които ще се вложат при изпълнението на договора и тяхното съответствие с изискванията в </w:t>
      </w:r>
      <w:r w:rsidR="00DD4D6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</w:t>
      </w:r>
      <w:r w:rsidR="00DC4232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проект</w:t>
      </w:r>
      <w:r w:rsidR="00EE265B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 </w:t>
      </w:r>
      <w:r w:rsidR="00493095" w:rsidRPr="003A43B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заданието за проектиране.</w:t>
      </w:r>
      <w:r w:rsidR="00FF2C38" w:rsidRPr="003A43B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Представени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са предвижданите организация и мобилизация на използваните от Участника ресурси, обвързани с конкретния подход за изпълнение на предмета на поръчката (строителство) и съпътстващите дейности. Подробно е описано разпределението на задачите и отговорностите между експертите във връзка с изпълнение на дейностите, както и отношенията и връзките на контрол, взаимодействие и субординация, както в предлагания екип, така и с Възложителя и останалите участници в изпълнението</w:t>
      </w:r>
      <w:r w:rsidR="00EE265B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проекта. Предложението съдържа преимущества спрямо данните и информацията, посочени в </w:t>
      </w:r>
      <w:r w:rsidR="00DC4232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по отношение на показателите, имащи отношение към качеството на изпълнение. От предложението е видно, че Участникът предлага програма за изпълнение (последователност, продължителност и </w:t>
      </w:r>
      <w:proofErr w:type="spellStart"/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взаимосвързаност</w:t>
      </w:r>
      <w:proofErr w:type="spellEnd"/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), </w:t>
      </w:r>
      <w:proofErr w:type="spellStart"/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относима</w:t>
      </w:r>
      <w:proofErr w:type="spellEnd"/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към предмета на поръчката и съответстваща на </w:t>
      </w:r>
      <w:r w:rsidR="00DC4232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 Предложението съдърж</w:t>
      </w:r>
      <w:r w:rsidR="008B5F8F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подробно описание на видовете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СМР</w:t>
      </w:r>
      <w:r w:rsidR="00163690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 КРР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с яснота по отношение на конкретните мерки и действия при изпълнението на всеки отделен обект на интервенция и етап от строителството. Представена е правилна технологична последователност и описание на строителните процеси за изпълнението </w:t>
      </w:r>
      <w:r w:rsidR="0080557F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обекта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870A9D" w:rsidRPr="009E413B" w:rsidRDefault="00870A9D" w:rsidP="00870A9D">
      <w:pPr>
        <w:pStyle w:val="ListParagraph"/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FF2C38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B0132F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точки -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предложението на участника отговаря на изискванията на възложителя, но е налице едно или повече от следните обстоятелства: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има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относно последователността и/или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взаимосвързаността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на предлаганите дейности; </w:t>
      </w:r>
    </w:p>
    <w:p w:rsidR="00FF2C38" w:rsidRPr="009E413B" w:rsidRDefault="00320232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предложеното </w:t>
      </w:r>
      <w:r w:rsidR="00FF2C38"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решение са представени мерки за осигуряване на безопасно улично движение, но те не се вписват ефективно в заобикалящата ги градска среда;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в описанието на организацията и мобилизацията на използваните от Участника ресурси и обвързаността им с конкретния подход за изпълнение на строителството и съпътстващите дейности;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конкретните мерки и действия при изпълнението на всеки отделен обект на интервенция и етап от строителството;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 xml:space="preserve">и/или са налице несъществени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технологичната последователност и описание на строителните процеси и изпълнението им.</w:t>
      </w:r>
    </w:p>
    <w:p w:rsidR="00870A9D" w:rsidRPr="009E413B" w:rsidRDefault="00870A9D" w:rsidP="00870A9D">
      <w:pPr>
        <w:tabs>
          <w:tab w:val="left" w:pos="-1701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9E413B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FF2C38" w:rsidRPr="009E413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точки - 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предложението на участни</w:t>
      </w:r>
      <w:r w:rsidR="00E644BF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 отговаря на изискванията на В</w:t>
      </w:r>
      <w:r w:rsidR="00FF2C38" w:rsidRPr="009E413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ъзложителя, но е налице едно или повече от следните обстоятелства: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Има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последователността и/или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взаимосвързаността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на предлаганите дейности или същите са схематично изложени;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методите за организация и мобилизация на използваните от участника ресурси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процедурите за контрол, взаимодействие и субординация между участниците в изпълнението на предмета на поръчката; </w:t>
      </w:r>
    </w:p>
    <w:p w:rsidR="00FF2C38" w:rsidRPr="009E413B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технологичната последователност и описание на строителните</w:t>
      </w:r>
      <w:r w:rsidR="00CE2C5C"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и реставрационните </w:t>
      </w:r>
      <w:r w:rsidRPr="009E413B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процеси и изпълнението им.</w:t>
      </w:r>
    </w:p>
    <w:p w:rsidR="00AE6D5A" w:rsidRPr="009E413B" w:rsidRDefault="00AE6D5A" w:rsidP="002D6EFE">
      <w:pPr>
        <w:spacing w:after="12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9E413B" w:rsidRDefault="00FF2C38" w:rsidP="002D6EF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3861DE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ОЦЕНКА ПО ФИНАНСОВ ПОКАЗАТЕЛ </w:t>
      </w:r>
      <w:r w:rsidR="00AE6D5A" w:rsidRPr="009E413B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Ц</w:t>
      </w:r>
      <w:r w:rsidR="000A495B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до 40</w:t>
      </w:r>
      <w:r w:rsidR="00234497"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A495B" w:rsidRPr="009E413B">
        <w:rPr>
          <w:rFonts w:ascii="Times New Roman" w:hAnsi="Times New Roman" w:cs="Times New Roman"/>
          <w:b/>
          <w:sz w:val="24"/>
          <w:szCs w:val="24"/>
          <w:lang w:val="bg-BG"/>
        </w:rPr>
        <w:t>точки:</w:t>
      </w:r>
    </w:p>
    <w:p w:rsidR="000A495B" w:rsidRPr="009E413B" w:rsidRDefault="000A495B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Участникът, предложил най-ниската цена, получава 40 точки, а оценките на останалите участници се определят по формулата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 = </w:t>
      </w:r>
      <m:oMath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  <w:lang w:val="bg-BG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  <w:lang w:val="bg-BG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m:t>Ц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m:t>min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bg-BG"/>
              </w:rPr>
              <m:t>Цn</m:t>
            </m:r>
          </m:den>
        </m:f>
      </m:oMath>
      <w:r w:rsidRPr="009E413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х </w:t>
      </w:r>
      <w:r w:rsidR="00B35203" w:rsidRPr="009E413B">
        <w:rPr>
          <w:rFonts w:ascii="Times New Roman" w:hAnsi="Times New Roman" w:cs="Times New Roman"/>
          <w:bCs/>
          <w:sz w:val="24"/>
          <w:szCs w:val="24"/>
          <w:lang w:val="bg-BG"/>
        </w:rPr>
        <w:t>40</w:t>
      </w:r>
      <w:r w:rsidRPr="009E413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9E413B">
        <w:rPr>
          <w:rFonts w:ascii="Times New Roman" w:hAnsi="Times New Roman" w:cs="Times New Roman"/>
          <w:iCs/>
          <w:sz w:val="24"/>
          <w:szCs w:val="24"/>
          <w:lang w:val="bg-BG"/>
        </w:rPr>
        <w:t>където: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Цmin</w:t>
      </w:r>
      <w:proofErr w:type="spellEnd"/>
      <w:r w:rsidR="00AE6D5A"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минималната цена в лв., предложена от участник</w:t>
      </w:r>
      <w:r w:rsidR="00AE6D5A" w:rsidRPr="009E41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Цn</w:t>
      </w:r>
      <w:proofErr w:type="spellEnd"/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цената в лв., предложена от текущо оценявания участник</w:t>
      </w:r>
      <w:r w:rsidR="00AE6D5A" w:rsidRPr="009E41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A495B" w:rsidRPr="009E413B" w:rsidRDefault="000A495B" w:rsidP="002D6EFE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На оценка подлежи общата цена за изпълнение, определена като сума на предложените цени за проектиране, авторски надзор и за изпълнение на СМР</w:t>
      </w:r>
      <w:r w:rsidR="00C421BA" w:rsidRPr="009E41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A495B" w:rsidRPr="009E413B" w:rsidRDefault="000A495B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3. ОБЩА ОЦЕНКА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Общата оценка на офертата на оценявания участник е с максимална стойност 100 точки.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9E413B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bg-BG"/>
        </w:rPr>
        <w:t>Оф</w:t>
      </w:r>
      <w:proofErr w:type="spellEnd"/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общата оценка на офертата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, се изчислява по следния начин:</w:t>
      </w:r>
    </w:p>
    <w:p w:rsidR="00FF2C38" w:rsidRPr="009E413B" w:rsidRDefault="00FF2C38" w:rsidP="002D6EF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КОф</w:t>
      </w:r>
      <w:proofErr w:type="spellEnd"/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=Т + Ц</w:t>
      </w:r>
      <w:r w:rsidRPr="009E413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отделно за всеки участник.</w:t>
      </w:r>
    </w:p>
    <w:p w:rsidR="000A495B" w:rsidRPr="009E413B" w:rsidRDefault="000A495B" w:rsidP="002D6EFE">
      <w:pPr>
        <w:pStyle w:val="Default"/>
        <w:widowControl w:val="0"/>
        <w:spacing w:after="120"/>
        <w:jc w:val="both"/>
        <w:rPr>
          <w:rFonts w:eastAsia="Calibri"/>
          <w:b/>
          <w:i/>
          <w:color w:val="auto"/>
          <w:u w:val="single"/>
          <w:lang w:eastAsia="ar-SA"/>
        </w:rPr>
      </w:pPr>
    </w:p>
    <w:p w:rsidR="000A495B" w:rsidRPr="009E413B" w:rsidRDefault="000A495B" w:rsidP="002D6EFE">
      <w:pPr>
        <w:pStyle w:val="Default"/>
        <w:widowControl w:val="0"/>
        <w:spacing w:after="120"/>
        <w:jc w:val="both"/>
        <w:rPr>
          <w:i/>
          <w:iCs/>
          <w:color w:val="auto"/>
        </w:rPr>
      </w:pPr>
      <w:r w:rsidRPr="009E413B">
        <w:rPr>
          <w:rFonts w:eastAsia="Calibri"/>
          <w:b/>
          <w:i/>
          <w:color w:val="auto"/>
          <w:u w:val="single"/>
          <w:lang w:eastAsia="ar-SA"/>
        </w:rPr>
        <w:t>*Забележка:</w:t>
      </w:r>
      <w:r w:rsidR="00DD4D67">
        <w:rPr>
          <w:rFonts w:eastAsia="Calibri"/>
          <w:b/>
          <w:i/>
          <w:color w:val="auto"/>
          <w:u w:val="single"/>
          <w:lang w:eastAsia="ar-SA"/>
        </w:rPr>
        <w:t xml:space="preserve"> </w:t>
      </w:r>
      <w:r w:rsidRPr="009E413B">
        <w:rPr>
          <w:i/>
          <w:iCs/>
          <w:color w:val="auto"/>
        </w:rPr>
        <w:t>Към оценка на ценовите предложения се пристъпва след като се извърши проверка и се установи, че са подготвени и представени в съответствие с изискванията на документацията за участие в процедурата.</w:t>
      </w:r>
    </w:p>
    <w:p w:rsidR="000A495B" w:rsidRPr="009E413B" w:rsidRDefault="000A495B" w:rsidP="002D6EFE">
      <w:pPr>
        <w:pStyle w:val="Heading2"/>
        <w:keepNext w:val="0"/>
        <w:widowControl w:val="0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9E413B">
        <w:rPr>
          <w:rFonts w:ascii="Times New Roman" w:hAnsi="Times New Roman"/>
          <w:sz w:val="24"/>
          <w:szCs w:val="24"/>
          <w:u w:val="single"/>
          <w:lang w:val="bg-BG"/>
        </w:rPr>
        <w:t>*Забележка:</w:t>
      </w:r>
      <w:r w:rsidR="00DD4D67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9E413B">
        <w:rPr>
          <w:rFonts w:ascii="Times New Roman" w:hAnsi="Times New Roman"/>
          <w:b w:val="0"/>
          <w:sz w:val="24"/>
          <w:szCs w:val="24"/>
          <w:lang w:val="bg-BG"/>
        </w:rPr>
        <w:t xml:space="preserve">При различия между стойностите, изразени с цифри и думи, за вярно се приема словесното изражение на стойностите; </w:t>
      </w:r>
    </w:p>
    <w:p w:rsidR="000A495B" w:rsidRPr="009E413B" w:rsidRDefault="000A495B" w:rsidP="002D6EFE">
      <w:pPr>
        <w:pStyle w:val="Normal1"/>
        <w:spacing w:after="120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  <w:r w:rsidRPr="009E413B">
        <w:rPr>
          <w:rFonts w:ascii="Times New Roman" w:hAnsi="Times New Roman" w:cs="Times New Roman"/>
          <w:b/>
          <w:i/>
          <w:u w:val="single"/>
          <w:lang w:val="bg-BG"/>
        </w:rPr>
        <w:t>*Забележка:</w:t>
      </w:r>
      <w:r w:rsidR="00DD4D67"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Pr="009E413B">
        <w:rPr>
          <w:rFonts w:ascii="Times New Roman" w:eastAsia="Times New Roman" w:hAnsi="Times New Roman" w:cs="Times New Roman"/>
          <w:bCs/>
          <w:i/>
          <w:iCs/>
          <w:lang w:val="bg-BG" w:eastAsia="bg-BG"/>
        </w:rPr>
        <w:t>Ценовото предложение следва да бъде изготвено съгласно Образец.</w:t>
      </w:r>
    </w:p>
    <w:p w:rsidR="003861DE" w:rsidRPr="009E413B" w:rsidRDefault="003861DE" w:rsidP="002D6EFE">
      <w:pPr>
        <w:pStyle w:val="Normal1"/>
        <w:spacing w:after="120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</w:p>
    <w:p w:rsidR="000A495B" w:rsidRPr="009E413B" w:rsidRDefault="000A495B" w:rsidP="002D6EFE">
      <w:pPr>
        <w:pStyle w:val="Heading2"/>
        <w:keepNext w:val="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120" w:line="240" w:lineRule="auto"/>
        <w:ind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9E413B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Максималната възможна комплексна оценка </w:t>
      </w:r>
      <w:r w:rsidRPr="009E413B">
        <w:rPr>
          <w:rFonts w:ascii="Times New Roman" w:hAnsi="Times New Roman"/>
          <w:i w:val="0"/>
          <w:sz w:val="24"/>
          <w:szCs w:val="24"/>
          <w:lang w:val="bg-BG"/>
        </w:rPr>
        <w:t>е 100 точки</w:t>
      </w:r>
      <w:r w:rsidRPr="009E413B">
        <w:rPr>
          <w:rFonts w:ascii="Times New Roman" w:hAnsi="Times New Roman"/>
          <w:b w:val="0"/>
          <w:i w:val="0"/>
          <w:sz w:val="24"/>
          <w:szCs w:val="24"/>
          <w:lang w:val="bg-BG"/>
        </w:rPr>
        <w:t>. Участникът, чиято оферта е получила най-висока комплексна оценка, се класира на първо място, а останалите следват в низходящ ред, съгласно съответната им комплексна оценка.</w:t>
      </w:r>
    </w:p>
    <w:p w:rsidR="000A495B" w:rsidRPr="009E413B" w:rsidRDefault="000A495B" w:rsidP="002D6EFE">
      <w:pPr>
        <w:pStyle w:val="Default"/>
        <w:widowControl w:val="0"/>
        <w:spacing w:after="120"/>
        <w:ind w:firstLine="360"/>
        <w:jc w:val="both"/>
        <w:rPr>
          <w:color w:val="auto"/>
        </w:rPr>
      </w:pPr>
      <w:r w:rsidRPr="009E413B">
        <w:rPr>
          <w:color w:val="auto"/>
        </w:rPr>
        <w:t xml:space="preserve">В случай, че комплексните оценки на две или повече оферти са равни, с предимство се класира офертата, в която се съдържат по- изгодни предложения, преценени в следния ред: </w:t>
      </w:r>
    </w:p>
    <w:p w:rsidR="000A495B" w:rsidRPr="009E413B" w:rsidRDefault="000A495B" w:rsidP="002D6EFE">
      <w:pPr>
        <w:pStyle w:val="Default"/>
        <w:widowControl w:val="0"/>
        <w:numPr>
          <w:ilvl w:val="0"/>
          <w:numId w:val="6"/>
        </w:numPr>
        <w:spacing w:after="120"/>
        <w:jc w:val="both"/>
        <w:rPr>
          <w:color w:val="auto"/>
        </w:rPr>
      </w:pPr>
      <w:r w:rsidRPr="009E413B">
        <w:rPr>
          <w:color w:val="auto"/>
        </w:rPr>
        <w:t xml:space="preserve">по-ниска предложена цена; </w:t>
      </w:r>
    </w:p>
    <w:p w:rsidR="000A495B" w:rsidRPr="009E413B" w:rsidRDefault="000A495B" w:rsidP="002D6EFE">
      <w:pPr>
        <w:pStyle w:val="Default"/>
        <w:widowControl w:val="0"/>
        <w:numPr>
          <w:ilvl w:val="0"/>
          <w:numId w:val="6"/>
        </w:numPr>
        <w:spacing w:after="120"/>
        <w:jc w:val="both"/>
        <w:rPr>
          <w:color w:val="auto"/>
        </w:rPr>
      </w:pPr>
      <w:r w:rsidRPr="009E413B">
        <w:rPr>
          <w:color w:val="auto"/>
        </w:rPr>
        <w:lastRenderedPageBreak/>
        <w:t>по-изгодно предложение по показатели извън предложена цена сравнени в низходящ ред съобразно тяхната тежест.</w:t>
      </w:r>
    </w:p>
    <w:p w:rsidR="00B80708" w:rsidRPr="009E413B" w:rsidRDefault="000A495B" w:rsidP="00163690">
      <w:pPr>
        <w:pStyle w:val="Heading2"/>
        <w:keepNext w:val="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120" w:line="240" w:lineRule="auto"/>
        <w:ind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9E413B">
        <w:rPr>
          <w:rFonts w:ascii="Times New Roman" w:hAnsi="Times New Roman"/>
          <w:b w:val="0"/>
          <w:i w:val="0"/>
          <w:sz w:val="24"/>
          <w:szCs w:val="24"/>
          <w:lang w:val="bg-BG"/>
        </w:rPr>
        <w:t>В случай, че полученият резултат от оценката на две или повече оферти са равни, комисията прилага разпоредбите на чл. 58 от ППЗОП.</w:t>
      </w:r>
    </w:p>
    <w:p w:rsidR="0066718A" w:rsidRPr="009E413B" w:rsidRDefault="0066718A" w:rsidP="002D6EFE">
      <w:pPr>
        <w:pStyle w:val="ListParagraph"/>
        <w:widowControl w:val="0"/>
        <w:numPr>
          <w:ilvl w:val="0"/>
          <w:numId w:val="4"/>
        </w:numPr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163690"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E413B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2</w:t>
      </w:r>
      <w:r w:rsidRPr="009E413B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 се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възлага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въз основа на икономически най-изгодната оферта при критерий</w:t>
      </w: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„НАЙ-НИСКА ЦЕНА“.</w:t>
      </w:r>
    </w:p>
    <w:p w:rsidR="0066718A" w:rsidRPr="009E413B" w:rsidRDefault="0066718A" w:rsidP="002D6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b/>
          <w:sz w:val="24"/>
          <w:szCs w:val="24"/>
          <w:lang w:val="bg-BG"/>
        </w:rPr>
        <w:t>Оценка на ценовото предложение;</w:t>
      </w:r>
    </w:p>
    <w:p w:rsidR="0066718A" w:rsidRPr="009E413B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Преди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оценката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ценовите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предложения, същите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проверяват, за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установи, че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подготвени и представени в съответствие с изискванията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документацията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участие в процедурата.</w:t>
      </w:r>
    </w:p>
    <w:p w:rsidR="0066718A" w:rsidRPr="009E413B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различия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стойностите, изразени с цифри и думи, за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вярно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словесното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изражение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стойностите;</w:t>
      </w:r>
    </w:p>
    <w:p w:rsidR="0066718A" w:rsidRPr="009E413B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Участникът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предложил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най-ниска обща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цена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класира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място, а останалите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следват в низходящ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ред, съгласно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съответното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ценово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предложение.</w:t>
      </w:r>
    </w:p>
    <w:p w:rsidR="0066718A" w:rsidRPr="009E413B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413B">
        <w:rPr>
          <w:rFonts w:ascii="Times New Roman" w:hAnsi="Times New Roman" w:cs="Times New Roman"/>
          <w:sz w:val="24"/>
          <w:szCs w:val="24"/>
          <w:lang w:val="bg-BG"/>
        </w:rPr>
        <w:t>В случай, че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полученият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резултат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оценката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оферти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равни, комисията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97AAC" w:rsidRPr="009E41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413B">
        <w:rPr>
          <w:rFonts w:ascii="Times New Roman" w:hAnsi="Times New Roman" w:cs="Times New Roman"/>
          <w:sz w:val="24"/>
          <w:szCs w:val="24"/>
          <w:lang w:val="bg-BG"/>
        </w:rPr>
        <w:t>чл. 58 от ППЗОП.</w:t>
      </w:r>
    </w:p>
    <w:p w:rsidR="00AE6D5A" w:rsidRPr="009E413B" w:rsidRDefault="00AE6D5A" w:rsidP="002D6EF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E6D5A" w:rsidRPr="009E413B" w:rsidSect="00492DD8">
      <w:footerReference w:type="default" r:id="rId7"/>
      <w:pgSz w:w="11906" w:h="16838"/>
      <w:pgMar w:top="993" w:right="991" w:bottom="851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7C" w:rsidRDefault="0005557C" w:rsidP="00492DD8">
      <w:pPr>
        <w:spacing w:after="0" w:line="240" w:lineRule="auto"/>
      </w:pPr>
      <w:r>
        <w:separator/>
      </w:r>
    </w:p>
  </w:endnote>
  <w:endnote w:type="continuationSeparator" w:id="0">
    <w:p w:rsidR="0005557C" w:rsidRDefault="0005557C" w:rsidP="004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26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DD8" w:rsidRDefault="00E868B4">
        <w:pPr>
          <w:pStyle w:val="Footer"/>
          <w:jc w:val="right"/>
        </w:pPr>
        <w:r>
          <w:fldChar w:fldCharType="begin"/>
        </w:r>
        <w:r w:rsidR="00492DD8">
          <w:instrText xml:space="preserve"> PAGE   \* MERGEFORMAT </w:instrText>
        </w:r>
        <w:r>
          <w:fldChar w:fldCharType="separate"/>
        </w:r>
        <w:r w:rsidR="00E125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2DD8" w:rsidRDefault="0049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7C" w:rsidRDefault="0005557C" w:rsidP="00492DD8">
      <w:pPr>
        <w:spacing w:after="0" w:line="240" w:lineRule="auto"/>
      </w:pPr>
      <w:r>
        <w:separator/>
      </w:r>
    </w:p>
  </w:footnote>
  <w:footnote w:type="continuationSeparator" w:id="0">
    <w:p w:rsidR="0005557C" w:rsidRDefault="0005557C" w:rsidP="0049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6F"/>
    <w:multiLevelType w:val="hybridMultilevel"/>
    <w:tmpl w:val="500C42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2279F3"/>
    <w:multiLevelType w:val="hybridMultilevel"/>
    <w:tmpl w:val="45125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768A"/>
    <w:multiLevelType w:val="hybridMultilevel"/>
    <w:tmpl w:val="FCD2A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6B8D"/>
    <w:multiLevelType w:val="multilevel"/>
    <w:tmpl w:val="C1CA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42CFA"/>
    <w:multiLevelType w:val="hybridMultilevel"/>
    <w:tmpl w:val="436284D0"/>
    <w:lvl w:ilvl="0" w:tplc="04020003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335744"/>
    <w:multiLevelType w:val="hybridMultilevel"/>
    <w:tmpl w:val="1ADE1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0350"/>
    <w:multiLevelType w:val="hybridMultilevel"/>
    <w:tmpl w:val="56E2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5402E"/>
    <w:multiLevelType w:val="hybridMultilevel"/>
    <w:tmpl w:val="F6B05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0C8B"/>
    <w:multiLevelType w:val="multilevel"/>
    <w:tmpl w:val="C91A60A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="Times New Roman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8"/>
    <w:rsid w:val="0005557C"/>
    <w:rsid w:val="000A495B"/>
    <w:rsid w:val="000B3837"/>
    <w:rsid w:val="000C61A5"/>
    <w:rsid w:val="00120E46"/>
    <w:rsid w:val="00163690"/>
    <w:rsid w:val="0021698D"/>
    <w:rsid w:val="00234497"/>
    <w:rsid w:val="002C070C"/>
    <w:rsid w:val="002D6EFE"/>
    <w:rsid w:val="002E64C9"/>
    <w:rsid w:val="002F2AFD"/>
    <w:rsid w:val="00320232"/>
    <w:rsid w:val="0035046B"/>
    <w:rsid w:val="00352D25"/>
    <w:rsid w:val="003861DE"/>
    <w:rsid w:val="003A43B8"/>
    <w:rsid w:val="0040593A"/>
    <w:rsid w:val="00427B89"/>
    <w:rsid w:val="00492DD8"/>
    <w:rsid w:val="00493095"/>
    <w:rsid w:val="00497291"/>
    <w:rsid w:val="004B4CA6"/>
    <w:rsid w:val="005048F9"/>
    <w:rsid w:val="005342A0"/>
    <w:rsid w:val="005801EA"/>
    <w:rsid w:val="005C2065"/>
    <w:rsid w:val="005C3921"/>
    <w:rsid w:val="005D2F49"/>
    <w:rsid w:val="00665217"/>
    <w:rsid w:val="0066718A"/>
    <w:rsid w:val="006967E7"/>
    <w:rsid w:val="00696C37"/>
    <w:rsid w:val="00697AAC"/>
    <w:rsid w:val="006B00F2"/>
    <w:rsid w:val="006F2C49"/>
    <w:rsid w:val="00746436"/>
    <w:rsid w:val="007F2892"/>
    <w:rsid w:val="007F58FB"/>
    <w:rsid w:val="0080557F"/>
    <w:rsid w:val="00806757"/>
    <w:rsid w:val="00870A9D"/>
    <w:rsid w:val="00886BEC"/>
    <w:rsid w:val="00893422"/>
    <w:rsid w:val="00896128"/>
    <w:rsid w:val="008B5F8F"/>
    <w:rsid w:val="00903B9C"/>
    <w:rsid w:val="00910950"/>
    <w:rsid w:val="00975158"/>
    <w:rsid w:val="009872C8"/>
    <w:rsid w:val="0099589B"/>
    <w:rsid w:val="009E413B"/>
    <w:rsid w:val="00A05B84"/>
    <w:rsid w:val="00AA1ECC"/>
    <w:rsid w:val="00AE6D5A"/>
    <w:rsid w:val="00B0132F"/>
    <w:rsid w:val="00B267B7"/>
    <w:rsid w:val="00B35203"/>
    <w:rsid w:val="00B80708"/>
    <w:rsid w:val="00B977FF"/>
    <w:rsid w:val="00C3212D"/>
    <w:rsid w:val="00C421BA"/>
    <w:rsid w:val="00C45C27"/>
    <w:rsid w:val="00C632DB"/>
    <w:rsid w:val="00CC567B"/>
    <w:rsid w:val="00CE2C5C"/>
    <w:rsid w:val="00D42BA3"/>
    <w:rsid w:val="00D90864"/>
    <w:rsid w:val="00DC4232"/>
    <w:rsid w:val="00DC4AE4"/>
    <w:rsid w:val="00DD0A5E"/>
    <w:rsid w:val="00DD4D67"/>
    <w:rsid w:val="00DD71CD"/>
    <w:rsid w:val="00E101A2"/>
    <w:rsid w:val="00E12531"/>
    <w:rsid w:val="00E3657E"/>
    <w:rsid w:val="00E5078C"/>
    <w:rsid w:val="00E644BF"/>
    <w:rsid w:val="00E66F3D"/>
    <w:rsid w:val="00E868B4"/>
    <w:rsid w:val="00E9580F"/>
    <w:rsid w:val="00EE1C2F"/>
    <w:rsid w:val="00EE265B"/>
    <w:rsid w:val="00F0568C"/>
    <w:rsid w:val="00F62E1D"/>
    <w:rsid w:val="00F925B4"/>
    <w:rsid w:val="00FC54E9"/>
    <w:rsid w:val="00FF2C38"/>
    <w:rsid w:val="00FF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550F"/>
  <w15:docId w15:val="{988D1D01-035B-4DE0-BEFD-0288CF5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38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95B"/>
    <w:pPr>
      <w:keepNext/>
      <w:numPr>
        <w:ilvl w:val="5"/>
        <w:numId w:val="5"/>
      </w:numPr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495B"/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customStyle="1" w:styleId="Default">
    <w:name w:val="Default"/>
    <w:rsid w:val="000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00">
    <w:name w:val="0000СТ"/>
    <w:basedOn w:val="Heading2"/>
    <w:uiPriority w:val="99"/>
    <w:rsid w:val="000A495B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customStyle="1" w:styleId="Normal1">
    <w:name w:val="Normal1"/>
    <w:uiPriority w:val="99"/>
    <w:rsid w:val="000A495B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rsid w:val="000A495B"/>
    <w:pPr>
      <w:spacing w:after="120" w:line="480" w:lineRule="auto"/>
    </w:pPr>
    <w:rPr>
      <w:rFonts w:ascii="Calibri" w:eastAsia="Calibri" w:hAnsi="Calibri" w:cs="Times New Roman"/>
      <w:sz w:val="20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495B"/>
    <w:rPr>
      <w:rFonts w:ascii="Calibri" w:eastAsia="Calibri" w:hAnsi="Calibri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6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D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CHILEV WORLD</dc:creator>
  <cp:lastModifiedBy>DMladenova</cp:lastModifiedBy>
  <cp:revision>20</cp:revision>
  <cp:lastPrinted>2019-11-28T13:56:00Z</cp:lastPrinted>
  <dcterms:created xsi:type="dcterms:W3CDTF">2019-09-04T14:51:00Z</dcterms:created>
  <dcterms:modified xsi:type="dcterms:W3CDTF">2019-12-09T12:16:00Z</dcterms:modified>
</cp:coreProperties>
</file>