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3C41" w14:textId="77777777" w:rsidR="00E9048A" w:rsidRDefault="00E9048A" w:rsidP="00435A35">
      <w:pPr>
        <w:widowControl/>
        <w:adjustRightInd/>
        <w:spacing w:line="240" w:lineRule="auto"/>
      </w:pPr>
    </w:p>
    <w:p w14:paraId="6DD38D8F"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2901BC" w14:paraId="5E17B3DE" w14:textId="77777777" w:rsidTr="002901BC">
        <w:tc>
          <w:tcPr>
            <w:tcW w:w="9639" w:type="dxa"/>
          </w:tcPr>
          <w:p w14:paraId="67EAA234" w14:textId="77777777" w:rsidR="0079655D" w:rsidRPr="00A9165B" w:rsidRDefault="0079655D" w:rsidP="00435A35">
            <w:pPr>
              <w:jc w:val="center"/>
              <w:rPr>
                <w:rFonts w:cs="Arial"/>
                <w:b/>
                <w:sz w:val="26"/>
                <w:szCs w:val="26"/>
                <w:lang w:val="en-US"/>
              </w:rPr>
            </w:pPr>
            <w:r w:rsidRPr="00A9165B">
              <w:rPr>
                <w:rFonts w:cs="Arial"/>
                <w:b/>
                <w:sz w:val="26"/>
                <w:szCs w:val="26"/>
                <w:lang w:val="en-US"/>
              </w:rPr>
              <w:t>One-Sided</w:t>
            </w:r>
            <w:r w:rsidRPr="00A9165B">
              <w:rPr>
                <w:rFonts w:cs="Arial"/>
                <w:b/>
                <w:sz w:val="26"/>
                <w:szCs w:val="26"/>
                <w:lang w:val="en-US"/>
              </w:rPr>
              <w:br/>
              <w:t>Non-disclosure agreement</w:t>
            </w:r>
          </w:p>
          <w:p w14:paraId="2F5D9D74" w14:textId="77777777" w:rsidR="0079655D" w:rsidRPr="00A9165B" w:rsidRDefault="0079655D" w:rsidP="00435A35">
            <w:pPr>
              <w:jc w:val="center"/>
              <w:rPr>
                <w:rFonts w:cs="Arial"/>
                <w:sz w:val="26"/>
                <w:szCs w:val="26"/>
                <w:lang w:val="en-US"/>
              </w:rPr>
            </w:pPr>
          </w:p>
          <w:p w14:paraId="356E2895" w14:textId="77777777" w:rsidR="0079655D" w:rsidRPr="00A9165B" w:rsidRDefault="0079655D" w:rsidP="00435A35">
            <w:pPr>
              <w:jc w:val="center"/>
              <w:rPr>
                <w:rFonts w:cs="Arial"/>
                <w:sz w:val="26"/>
                <w:szCs w:val="26"/>
                <w:lang w:val="en-US" w:eastAsia="de-DE"/>
              </w:rPr>
            </w:pPr>
          </w:p>
        </w:tc>
      </w:tr>
      <w:tr w:rsidR="0079655D" w:rsidRPr="00A752E3" w14:paraId="3D4F17D6" w14:textId="77777777" w:rsidTr="002901BC">
        <w:tc>
          <w:tcPr>
            <w:tcW w:w="9639" w:type="dxa"/>
          </w:tcPr>
          <w:p w14:paraId="4E5C4063" w14:textId="77777777" w:rsidR="0079655D" w:rsidRPr="0081480A" w:rsidRDefault="0079655D" w:rsidP="00435A35">
            <w:pPr>
              <w:jc w:val="center"/>
              <w:rPr>
                <w:rFonts w:cs="Arial"/>
              </w:rPr>
            </w:pPr>
            <w:r w:rsidRPr="0081480A">
              <w:rPr>
                <w:rFonts w:cs="Arial"/>
              </w:rPr>
              <w:t>between</w:t>
            </w:r>
          </w:p>
          <w:p w14:paraId="441EEFA7" w14:textId="77777777" w:rsidR="0079655D" w:rsidRPr="0081480A" w:rsidRDefault="0079655D" w:rsidP="00435A35">
            <w:pPr>
              <w:jc w:val="center"/>
              <w:rPr>
                <w:rFonts w:cs="Arial"/>
              </w:rPr>
            </w:pPr>
          </w:p>
          <w:p w14:paraId="71DCC3C4" w14:textId="77777777" w:rsidR="0079655D" w:rsidRPr="00A752E3" w:rsidRDefault="0079655D" w:rsidP="00435A35">
            <w:pPr>
              <w:rPr>
                <w:rFonts w:cs="Arial"/>
                <w:lang w:eastAsia="de-DE"/>
              </w:rPr>
            </w:pPr>
          </w:p>
        </w:tc>
      </w:tr>
      <w:tr w:rsidR="0079655D" w:rsidRPr="00D467A4" w14:paraId="0952E378" w14:textId="77777777" w:rsidTr="002901BC">
        <w:trPr>
          <w:trHeight w:val="20"/>
        </w:trPr>
        <w:tc>
          <w:tcPr>
            <w:tcW w:w="9639" w:type="dxa"/>
          </w:tcPr>
          <w:p w14:paraId="1E523A4C" w14:textId="77777777" w:rsidR="00262F0C" w:rsidRDefault="00262F0C" w:rsidP="00262F0C">
            <w:pPr>
              <w:jc w:val="center"/>
              <w:rPr>
                <w:rFonts w:cs="Arial"/>
              </w:rPr>
            </w:pPr>
            <w:r>
              <w:rPr>
                <w:rFonts w:cs="Arial"/>
              </w:rPr>
              <w:t>TenneT Offshore GmbH</w:t>
            </w:r>
          </w:p>
          <w:p w14:paraId="53932902" w14:textId="77777777" w:rsidR="00262F0C" w:rsidRDefault="00262F0C" w:rsidP="00262F0C">
            <w:pPr>
              <w:jc w:val="center"/>
              <w:rPr>
                <w:rFonts w:cs="Arial"/>
              </w:rPr>
            </w:pPr>
            <w:r>
              <w:rPr>
                <w:rFonts w:cs="Arial"/>
              </w:rPr>
              <w:t>Bernecker Straße 70, 95448 Bayreuth,</w:t>
            </w:r>
          </w:p>
          <w:p w14:paraId="4F9922CB" w14:textId="77777777" w:rsidR="0079655D" w:rsidRPr="00262F0C" w:rsidRDefault="0079655D" w:rsidP="00B3320D">
            <w:pPr>
              <w:tabs>
                <w:tab w:val="left" w:pos="3481"/>
              </w:tabs>
              <w:rPr>
                <w:rFonts w:cs="Arial"/>
              </w:rPr>
            </w:pPr>
            <w:r w:rsidRPr="00262F0C">
              <w:rPr>
                <w:rFonts w:cs="Arial"/>
              </w:rPr>
              <w:tab/>
            </w:r>
          </w:p>
          <w:p w14:paraId="40D8A342" w14:textId="77777777" w:rsidR="0079655D" w:rsidRPr="006609C7" w:rsidRDefault="0079655D"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14:paraId="51FBE8D4" w14:textId="77777777" w:rsidR="0079655D" w:rsidRPr="006609C7" w:rsidRDefault="0079655D" w:rsidP="00435A35">
            <w:pPr>
              <w:jc w:val="center"/>
              <w:rPr>
                <w:rFonts w:cs="Arial"/>
                <w:lang w:val="en-US"/>
              </w:rPr>
            </w:pPr>
          </w:p>
          <w:p w14:paraId="481FDC4A" w14:textId="77777777" w:rsidR="0079655D" w:rsidRPr="006F2803" w:rsidRDefault="0079655D" w:rsidP="00435A35">
            <w:pPr>
              <w:rPr>
                <w:rFonts w:cs="Arial"/>
                <w:lang w:val="en-US" w:eastAsia="de-DE"/>
              </w:rPr>
            </w:pPr>
          </w:p>
        </w:tc>
      </w:tr>
      <w:tr w:rsidR="0079655D" w:rsidRPr="00897DD6" w14:paraId="4BDBADDB" w14:textId="77777777" w:rsidTr="002901BC">
        <w:trPr>
          <w:trHeight w:val="20"/>
        </w:trPr>
        <w:tc>
          <w:tcPr>
            <w:tcW w:w="9639" w:type="dxa"/>
          </w:tcPr>
          <w:p w14:paraId="4BED2B3D" w14:textId="77777777" w:rsidR="0079655D" w:rsidRPr="006609C7" w:rsidRDefault="0079655D" w:rsidP="00435A35">
            <w:pPr>
              <w:jc w:val="center"/>
              <w:rPr>
                <w:rFonts w:cs="Arial"/>
                <w:lang w:val="en-US"/>
              </w:rPr>
            </w:pPr>
          </w:p>
          <w:p w14:paraId="64A0A949" w14:textId="77777777" w:rsidR="0079655D" w:rsidRPr="006609C7" w:rsidRDefault="0079655D" w:rsidP="00435A35">
            <w:pPr>
              <w:jc w:val="center"/>
              <w:rPr>
                <w:rFonts w:cs="Arial"/>
                <w:lang w:val="en-US"/>
              </w:rPr>
            </w:pPr>
            <w:r w:rsidRPr="006609C7">
              <w:rPr>
                <w:rFonts w:cs="Arial"/>
                <w:lang w:val="en-US"/>
              </w:rPr>
              <w:t>and</w:t>
            </w:r>
          </w:p>
          <w:p w14:paraId="028B4577" w14:textId="77777777" w:rsidR="0079655D" w:rsidRPr="000801E2" w:rsidRDefault="0079655D" w:rsidP="00435A35">
            <w:pPr>
              <w:jc w:val="center"/>
              <w:rPr>
                <w:rFonts w:cs="Arial"/>
                <w:lang w:val="en-US"/>
              </w:rPr>
            </w:pPr>
          </w:p>
          <w:p w14:paraId="33F4A7F2" w14:textId="77777777" w:rsidR="0079655D" w:rsidRPr="00897DD6" w:rsidRDefault="0079655D" w:rsidP="00435A35">
            <w:pPr>
              <w:rPr>
                <w:rFonts w:cs="Arial"/>
                <w:lang w:eastAsia="de-DE"/>
              </w:rPr>
            </w:pPr>
          </w:p>
        </w:tc>
      </w:tr>
      <w:tr w:rsidR="0079655D" w:rsidRPr="00D467A4" w14:paraId="4FD8C82D" w14:textId="77777777" w:rsidTr="002901BC">
        <w:trPr>
          <w:trHeight w:val="20"/>
        </w:trPr>
        <w:tc>
          <w:tcPr>
            <w:tcW w:w="9639" w:type="dxa"/>
          </w:tcPr>
          <w:p w14:paraId="0F507660" w14:textId="1F9BB9DC" w:rsidR="00460FCF" w:rsidRDefault="00460FCF" w:rsidP="00435A35">
            <w:pPr>
              <w:jc w:val="center"/>
              <w:rPr>
                <w:rFonts w:cs="Arial"/>
                <w:highlight w:val="yellow"/>
                <w:lang w:val="en-US"/>
              </w:rPr>
            </w:pPr>
            <w:r>
              <w:rPr>
                <w:rFonts w:cs="Arial"/>
                <w:highlight w:val="yellow"/>
                <w:lang w:val="en-US"/>
              </w:rPr>
              <w:fldChar w:fldCharType="begin">
                <w:ffData>
                  <w:name w:val="Text1"/>
                  <w:enabled/>
                  <w:calcOnExit w:val="0"/>
                  <w:textInput>
                    <w:default w:val="Name of the company,"/>
                  </w:textInput>
                </w:ffData>
              </w:fldChar>
            </w:r>
            <w:bookmarkStart w:id="0" w:name="Text1"/>
            <w:r>
              <w:rPr>
                <w:rFonts w:cs="Arial"/>
                <w:highlight w:val="yellow"/>
                <w:lang w:val="en-US"/>
              </w:rPr>
              <w:instrText xml:space="preserve"> FORMTEXT </w:instrText>
            </w:r>
            <w:r>
              <w:rPr>
                <w:rFonts w:cs="Arial"/>
                <w:highlight w:val="yellow"/>
                <w:lang w:val="en-US"/>
              </w:rPr>
            </w:r>
            <w:r>
              <w:rPr>
                <w:rFonts w:cs="Arial"/>
                <w:highlight w:val="yellow"/>
                <w:lang w:val="en-US"/>
              </w:rPr>
              <w:fldChar w:fldCharType="separate"/>
            </w:r>
            <w:r>
              <w:rPr>
                <w:rFonts w:cs="Arial"/>
                <w:noProof/>
                <w:highlight w:val="yellow"/>
                <w:lang w:val="en-US"/>
              </w:rPr>
              <w:t>Name of the company,</w:t>
            </w:r>
            <w:r>
              <w:rPr>
                <w:rFonts w:cs="Arial"/>
                <w:highlight w:val="yellow"/>
                <w:lang w:val="en-US"/>
              </w:rPr>
              <w:fldChar w:fldCharType="end"/>
            </w:r>
            <w:bookmarkEnd w:id="0"/>
          </w:p>
          <w:p w14:paraId="50E3FEC1" w14:textId="24109117" w:rsidR="00460FCF" w:rsidRDefault="00460FCF" w:rsidP="00460FCF">
            <w:pPr>
              <w:jc w:val="center"/>
              <w:rPr>
                <w:rFonts w:cs="Arial"/>
                <w:highlight w:val="yellow"/>
                <w:lang w:val="en-US"/>
              </w:rPr>
            </w:pPr>
            <w:r>
              <w:rPr>
                <w:rFonts w:cs="Arial"/>
                <w:highlight w:val="yellow"/>
                <w:lang w:val="en-US"/>
              </w:rPr>
              <w:fldChar w:fldCharType="begin">
                <w:ffData>
                  <w:name w:val="Text2"/>
                  <w:enabled/>
                  <w:calcOnExit w:val="0"/>
                  <w:textInput>
                    <w:default w:val="street name and house number, postal code"/>
                  </w:textInput>
                </w:ffData>
              </w:fldChar>
            </w:r>
            <w:bookmarkStart w:id="1" w:name="Text2"/>
            <w:r>
              <w:rPr>
                <w:rFonts w:cs="Arial"/>
                <w:highlight w:val="yellow"/>
                <w:lang w:val="en-US"/>
              </w:rPr>
              <w:instrText xml:space="preserve"> FORMTEXT </w:instrText>
            </w:r>
            <w:r>
              <w:rPr>
                <w:rFonts w:cs="Arial"/>
                <w:highlight w:val="yellow"/>
                <w:lang w:val="en-US"/>
              </w:rPr>
            </w:r>
            <w:r>
              <w:rPr>
                <w:rFonts w:cs="Arial"/>
                <w:highlight w:val="yellow"/>
                <w:lang w:val="en-US"/>
              </w:rPr>
              <w:fldChar w:fldCharType="separate"/>
            </w:r>
            <w:r>
              <w:rPr>
                <w:rFonts w:cs="Arial"/>
                <w:noProof/>
                <w:highlight w:val="yellow"/>
                <w:lang w:val="en-US"/>
              </w:rPr>
              <w:t>street name and house number, postal code</w:t>
            </w:r>
            <w:r>
              <w:rPr>
                <w:rFonts w:cs="Arial"/>
                <w:highlight w:val="yellow"/>
                <w:lang w:val="en-US"/>
              </w:rPr>
              <w:fldChar w:fldCharType="end"/>
            </w:r>
            <w:bookmarkEnd w:id="1"/>
            <w:r w:rsidRPr="00B3320D">
              <w:rPr>
                <w:rFonts w:cs="Arial"/>
                <w:highlight w:val="yellow"/>
                <w:lang w:val="en-US"/>
              </w:rPr>
              <w:t>,</w:t>
            </w:r>
          </w:p>
          <w:p w14:paraId="27CE7303" w14:textId="6A28389B" w:rsidR="0079655D" w:rsidRPr="00B3320D" w:rsidRDefault="00460FCF" w:rsidP="00435A35">
            <w:pPr>
              <w:jc w:val="center"/>
              <w:rPr>
                <w:rFonts w:cs="Arial"/>
                <w:lang w:val="en-US"/>
              </w:rPr>
            </w:pPr>
            <w:r>
              <w:rPr>
                <w:rFonts w:cs="Arial"/>
                <w:highlight w:val="yellow"/>
                <w:lang w:val="en-US"/>
              </w:rPr>
              <w:fldChar w:fldCharType="begin">
                <w:ffData>
                  <w:name w:val="Text3"/>
                  <w:enabled/>
                  <w:calcOnExit w:val="0"/>
                  <w:textInput>
                    <w:default w:val="town"/>
                  </w:textInput>
                </w:ffData>
              </w:fldChar>
            </w:r>
            <w:bookmarkStart w:id="2" w:name="Text3"/>
            <w:r>
              <w:rPr>
                <w:rFonts w:cs="Arial"/>
                <w:highlight w:val="yellow"/>
                <w:lang w:val="en-US"/>
              </w:rPr>
              <w:instrText xml:space="preserve"> FORMTEXT </w:instrText>
            </w:r>
            <w:r>
              <w:rPr>
                <w:rFonts w:cs="Arial"/>
                <w:highlight w:val="yellow"/>
                <w:lang w:val="en-US"/>
              </w:rPr>
            </w:r>
            <w:r>
              <w:rPr>
                <w:rFonts w:cs="Arial"/>
                <w:highlight w:val="yellow"/>
                <w:lang w:val="en-US"/>
              </w:rPr>
              <w:fldChar w:fldCharType="separate"/>
            </w:r>
            <w:r>
              <w:rPr>
                <w:rFonts w:cs="Arial"/>
                <w:noProof/>
                <w:highlight w:val="yellow"/>
                <w:lang w:val="en-US"/>
              </w:rPr>
              <w:t>town</w:t>
            </w:r>
            <w:r>
              <w:rPr>
                <w:rFonts w:cs="Arial"/>
                <w:highlight w:val="yellow"/>
                <w:lang w:val="en-US"/>
              </w:rPr>
              <w:fldChar w:fldCharType="end"/>
            </w:r>
            <w:bookmarkEnd w:id="2"/>
            <w:r w:rsidR="0079655D" w:rsidRPr="00B3320D">
              <w:rPr>
                <w:rFonts w:cs="Arial"/>
                <w:highlight w:val="yellow"/>
                <w:lang w:val="en-US"/>
              </w:rPr>
              <w:t>,</w:t>
            </w:r>
          </w:p>
          <w:p w14:paraId="361F040C" w14:textId="77777777" w:rsidR="0079655D" w:rsidRPr="00B3320D" w:rsidRDefault="0079655D" w:rsidP="00435A35">
            <w:pPr>
              <w:jc w:val="center"/>
              <w:rPr>
                <w:rFonts w:cs="Arial"/>
                <w:lang w:val="en-US"/>
              </w:rPr>
            </w:pPr>
          </w:p>
          <w:p w14:paraId="5EEAFE8C" w14:textId="77777777" w:rsidR="0079655D" w:rsidRPr="00640E03" w:rsidRDefault="0079655D" w:rsidP="00435A35">
            <w:pPr>
              <w:jc w:val="center"/>
              <w:rPr>
                <w:rFonts w:cs="Arial"/>
                <w:lang w:val="en-US"/>
              </w:rPr>
            </w:pPr>
          </w:p>
          <w:p w14:paraId="783437EB" w14:textId="18FA8735" w:rsidR="0079655D" w:rsidRPr="00B3320D" w:rsidRDefault="0079655D" w:rsidP="00435A35">
            <w:pPr>
              <w:jc w:val="center"/>
              <w:rPr>
                <w:rFonts w:cs="Arial"/>
                <w:lang w:val="en-US"/>
              </w:rPr>
            </w:pPr>
            <w:r w:rsidRPr="00B3320D">
              <w:rPr>
                <w:rFonts w:cs="Arial"/>
                <w:lang w:val="en-US"/>
              </w:rPr>
              <w:t xml:space="preserve">- hereinafter referred to as </w:t>
            </w:r>
            <w:r w:rsidR="00460FCF">
              <w:rPr>
                <w:rFonts w:cs="Arial"/>
                <w:highlight w:val="yellow"/>
                <w:lang w:val="en-US"/>
              </w:rPr>
              <w:fldChar w:fldCharType="begin">
                <w:ffData>
                  <w:name w:val="Text4"/>
                  <w:enabled/>
                  <w:calcOnExit w:val="0"/>
                  <w:textInput>
                    <w:default w:val="„……“ "/>
                  </w:textInput>
                </w:ffData>
              </w:fldChar>
            </w:r>
            <w:bookmarkStart w:id="3" w:name="Text4"/>
            <w:r w:rsidR="00460FCF">
              <w:rPr>
                <w:rFonts w:cs="Arial"/>
                <w:highlight w:val="yellow"/>
                <w:lang w:val="en-US"/>
              </w:rPr>
              <w:instrText xml:space="preserve"> FORMTEXT </w:instrText>
            </w:r>
            <w:r w:rsidR="00460FCF">
              <w:rPr>
                <w:rFonts w:cs="Arial"/>
                <w:highlight w:val="yellow"/>
                <w:lang w:val="en-US"/>
              </w:rPr>
            </w:r>
            <w:r w:rsidR="00460FCF">
              <w:rPr>
                <w:rFonts w:cs="Arial"/>
                <w:highlight w:val="yellow"/>
                <w:lang w:val="en-US"/>
              </w:rPr>
              <w:fldChar w:fldCharType="separate"/>
            </w:r>
            <w:r w:rsidR="00460FCF">
              <w:rPr>
                <w:rFonts w:cs="Arial"/>
                <w:noProof/>
                <w:highlight w:val="yellow"/>
                <w:lang w:val="en-US"/>
              </w:rPr>
              <w:t xml:space="preserve">„……“ </w:t>
            </w:r>
            <w:r w:rsidR="00460FCF">
              <w:rPr>
                <w:rFonts w:cs="Arial"/>
                <w:highlight w:val="yellow"/>
                <w:lang w:val="en-US"/>
              </w:rPr>
              <w:fldChar w:fldCharType="end"/>
            </w:r>
            <w:bookmarkEnd w:id="3"/>
            <w:r w:rsidRPr="00B3320D">
              <w:rPr>
                <w:rFonts w:cs="Arial"/>
                <w:lang w:val="en-US"/>
              </w:rPr>
              <w:br/>
              <w:t>or as “Recipient Party”, -</w:t>
            </w:r>
          </w:p>
          <w:p w14:paraId="06522444" w14:textId="77777777" w:rsidR="0079655D" w:rsidRPr="00B3320D" w:rsidRDefault="0079655D" w:rsidP="00435A35">
            <w:pPr>
              <w:jc w:val="center"/>
              <w:rPr>
                <w:rFonts w:cs="Arial"/>
                <w:lang w:val="en-US"/>
              </w:rPr>
            </w:pPr>
          </w:p>
          <w:p w14:paraId="1845FBC7" w14:textId="77777777" w:rsidR="0079655D" w:rsidRPr="00B3320D" w:rsidRDefault="0079655D" w:rsidP="00B3320D">
            <w:pPr>
              <w:jc w:val="center"/>
              <w:rPr>
                <w:rFonts w:cs="Arial"/>
                <w:lang w:val="en-US"/>
              </w:rPr>
            </w:pPr>
          </w:p>
        </w:tc>
      </w:tr>
      <w:tr w:rsidR="0079655D" w:rsidRPr="00D60F65" w14:paraId="26DBBFA7" w14:textId="77777777" w:rsidTr="002901BC">
        <w:trPr>
          <w:trHeight w:val="20"/>
        </w:trPr>
        <w:tc>
          <w:tcPr>
            <w:tcW w:w="9639" w:type="dxa"/>
          </w:tcPr>
          <w:p w14:paraId="4A8439BE" w14:textId="77777777" w:rsidR="0079655D" w:rsidRPr="00B3320D" w:rsidRDefault="0079655D" w:rsidP="00B3320D">
            <w:pPr>
              <w:spacing w:line="240" w:lineRule="atLeast"/>
              <w:jc w:val="center"/>
              <w:rPr>
                <w:rFonts w:cs="Arial"/>
                <w:lang w:val="en-US"/>
              </w:rPr>
            </w:pPr>
          </w:p>
          <w:p w14:paraId="4DA80E3B" w14:textId="77777777" w:rsidR="0079655D" w:rsidRPr="00B3320D" w:rsidRDefault="0079655D" w:rsidP="00B3320D">
            <w:pPr>
              <w:spacing w:line="240" w:lineRule="atLeast"/>
              <w:jc w:val="center"/>
              <w:rPr>
                <w:rFonts w:cs="Arial"/>
                <w:lang w:val="en-US"/>
              </w:rPr>
            </w:pPr>
            <w:r w:rsidRPr="00B3320D">
              <w:rPr>
                <w:rFonts w:cs="Arial"/>
                <w:lang w:val="en-US"/>
              </w:rPr>
              <w:t>The contracting parties collectively are hereinafter referred to as "Parties"</w:t>
            </w:r>
          </w:p>
          <w:p w14:paraId="4336CFF7" w14:textId="77777777" w:rsidR="0079655D" w:rsidRPr="00B3320D" w:rsidRDefault="0079655D" w:rsidP="00B3320D">
            <w:pPr>
              <w:spacing w:line="240" w:lineRule="atLeast"/>
              <w:jc w:val="center"/>
              <w:rPr>
                <w:rFonts w:cs="Arial"/>
              </w:rPr>
            </w:pPr>
            <w:r w:rsidRPr="00B3320D">
              <w:rPr>
                <w:rFonts w:cs="Arial"/>
              </w:rPr>
              <w:t>or individually as "Party".</w:t>
            </w:r>
          </w:p>
          <w:p w14:paraId="28D50B1A" w14:textId="77777777" w:rsidR="0079655D" w:rsidRPr="00B3320D" w:rsidRDefault="0079655D" w:rsidP="00B3320D">
            <w:pPr>
              <w:spacing w:line="240" w:lineRule="atLeast"/>
              <w:jc w:val="center"/>
              <w:rPr>
                <w:rFonts w:cs="Arial"/>
              </w:rPr>
            </w:pPr>
          </w:p>
          <w:p w14:paraId="1017AC28" w14:textId="77777777" w:rsidR="0079655D" w:rsidRPr="00B3320D" w:rsidRDefault="0079655D" w:rsidP="00B3320D">
            <w:pPr>
              <w:spacing w:line="240" w:lineRule="atLeast"/>
              <w:jc w:val="center"/>
              <w:rPr>
                <w:rFonts w:cs="Arial"/>
              </w:rPr>
            </w:pPr>
          </w:p>
          <w:p w14:paraId="7734277C" w14:textId="77777777" w:rsidR="0079655D" w:rsidRPr="00B3320D" w:rsidRDefault="0079655D" w:rsidP="002901BC">
            <w:pPr>
              <w:ind w:right="-16"/>
              <w:jc w:val="center"/>
              <w:rPr>
                <w:rFonts w:cs="Arial"/>
                <w:lang w:eastAsia="de-DE"/>
              </w:rPr>
            </w:pPr>
          </w:p>
        </w:tc>
      </w:tr>
      <w:tr w:rsidR="004A1A1B" w:rsidRPr="00D60F65" w14:paraId="66EAB05F" w14:textId="77777777" w:rsidTr="0079655D">
        <w:trPr>
          <w:trHeight w:val="20"/>
        </w:trPr>
        <w:tc>
          <w:tcPr>
            <w:tcW w:w="9639" w:type="dxa"/>
          </w:tcPr>
          <w:p w14:paraId="57542A08" w14:textId="77777777" w:rsidR="004A1A1B" w:rsidRPr="00B3320D" w:rsidRDefault="004A1A1B" w:rsidP="004A1A1B">
            <w:pPr>
              <w:rPr>
                <w:rFonts w:cs="Arial"/>
                <w:lang w:eastAsia="de-DE"/>
              </w:rPr>
            </w:pPr>
          </w:p>
          <w:p w14:paraId="52DD4FDE" w14:textId="77777777" w:rsidR="004A1A1B" w:rsidRDefault="004A1A1B" w:rsidP="004A1A1B">
            <w:pPr>
              <w:ind w:right="-16"/>
              <w:jc w:val="center"/>
              <w:rPr>
                <w:rFonts w:cs="Arial"/>
                <w:b/>
                <w:sz w:val="22"/>
                <w:szCs w:val="22"/>
                <w:lang w:val="en-US"/>
              </w:rPr>
            </w:pPr>
          </w:p>
          <w:p w14:paraId="0F4DE51F" w14:textId="77777777" w:rsidR="004A1A1B" w:rsidRPr="00B3320D" w:rsidRDefault="004A1A1B" w:rsidP="004A1A1B">
            <w:pPr>
              <w:ind w:right="-16"/>
              <w:jc w:val="center"/>
              <w:rPr>
                <w:rFonts w:cs="Arial"/>
                <w:b/>
                <w:sz w:val="22"/>
                <w:szCs w:val="22"/>
                <w:lang w:val="en-US"/>
              </w:rPr>
            </w:pPr>
            <w:r w:rsidRPr="00640E03">
              <w:rPr>
                <w:rFonts w:cs="Arial"/>
                <w:b/>
                <w:sz w:val="22"/>
                <w:szCs w:val="22"/>
                <w:lang w:val="en-US"/>
              </w:rPr>
              <w:lastRenderedPageBreak/>
              <w:t>Preamble</w:t>
            </w:r>
          </w:p>
          <w:p w14:paraId="3A5B9833" w14:textId="77777777" w:rsidR="004A1A1B" w:rsidRPr="00B3320D" w:rsidRDefault="004A1A1B" w:rsidP="00B3320D">
            <w:pPr>
              <w:spacing w:line="240" w:lineRule="atLeast"/>
              <w:jc w:val="center"/>
              <w:rPr>
                <w:rFonts w:cs="Arial"/>
                <w:lang w:val="en-US"/>
              </w:rPr>
            </w:pPr>
          </w:p>
        </w:tc>
      </w:tr>
      <w:tr w:rsidR="0079655D" w:rsidRPr="00D467A4" w14:paraId="4DCFB5EB" w14:textId="77777777" w:rsidTr="002901BC">
        <w:trPr>
          <w:trHeight w:val="20"/>
        </w:trPr>
        <w:tc>
          <w:tcPr>
            <w:tcW w:w="9639" w:type="dxa"/>
          </w:tcPr>
          <w:p w14:paraId="547D102A" w14:textId="72047D2E" w:rsidR="0079655D" w:rsidRPr="009B2C32" w:rsidRDefault="0079655D" w:rsidP="00435A35">
            <w:pPr>
              <w:pStyle w:val="Abstze"/>
              <w:numPr>
                <w:ilvl w:val="0"/>
                <w:numId w:val="48"/>
              </w:numPr>
              <w:tabs>
                <w:tab w:val="clear" w:pos="851"/>
                <w:tab w:val="num" w:pos="567"/>
              </w:tabs>
              <w:ind w:left="567"/>
              <w:jc w:val="left"/>
              <w:rPr>
                <w:lang w:val="en-US"/>
              </w:rPr>
            </w:pPr>
            <w:r>
              <w:rPr>
                <w:rFonts w:ascii="Arial" w:hAnsi="Arial" w:cs="Arial"/>
                <w:szCs w:val="20"/>
                <w:lang w:val="en-US"/>
              </w:rPr>
              <w:lastRenderedPageBreak/>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w:t>
            </w:r>
            <w:r w:rsidR="00D467A4">
              <w:rPr>
                <w:rFonts w:ascii="Arial" w:hAnsi="Arial" w:cs="Arial"/>
                <w:szCs w:val="20"/>
                <w:lang w:val="en-US"/>
              </w:rPr>
              <w:t xml:space="preserve"> EU Tender for the</w:t>
            </w:r>
            <w:r w:rsidRPr="006609C7">
              <w:rPr>
                <w:rFonts w:ascii="Arial" w:hAnsi="Arial" w:cs="Arial"/>
                <w:szCs w:val="20"/>
                <w:lang w:val="en-US"/>
              </w:rPr>
              <w:t xml:space="preserve"> </w:t>
            </w:r>
            <w:r w:rsidR="00262F0C" w:rsidRPr="00262F0C">
              <w:rPr>
                <w:rFonts w:ascii="Arial" w:hAnsi="Arial" w:cs="Arial"/>
                <w:szCs w:val="20"/>
                <w:lang w:val="en-US"/>
              </w:rPr>
              <w:t xml:space="preserve">Mechanical &amp; Electro-technical integrated Contract (MEiC) for maintenance of offshore grid connection systems </w:t>
            </w:r>
            <w:r w:rsidRPr="006609C7">
              <w:rPr>
                <w:rFonts w:ascii="Arial" w:hAnsi="Arial" w:cs="Arial"/>
                <w:szCs w:val="20"/>
                <w:lang w:val="en-US"/>
              </w:rPr>
              <w:t>(hereinafter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14:paraId="5CE20B6D" w14:textId="77777777" w:rsidR="0079655D" w:rsidRPr="006609C7" w:rsidRDefault="0079655D" w:rsidP="00435A35">
            <w:pPr>
              <w:pStyle w:val="Abstze"/>
              <w:numPr>
                <w:ilvl w:val="0"/>
                <w:numId w:val="0"/>
              </w:numPr>
              <w:spacing w:after="0"/>
              <w:ind w:right="-299" w:hanging="1134"/>
              <w:rPr>
                <w:rFonts w:ascii="Arial" w:hAnsi="Arial" w:cs="Arial"/>
                <w:szCs w:val="20"/>
                <w:lang w:val="en-US"/>
              </w:rPr>
            </w:pPr>
          </w:p>
          <w:p w14:paraId="66DD2B36" w14:textId="77777777" w:rsidR="0079655D" w:rsidRPr="00175320" w:rsidRDefault="0079655D" w:rsidP="00435A35">
            <w:pPr>
              <w:rPr>
                <w:rFonts w:cs="Arial"/>
                <w:lang w:val="en-US" w:eastAsia="de-DE"/>
              </w:rPr>
            </w:pPr>
          </w:p>
        </w:tc>
      </w:tr>
      <w:tr w:rsidR="0079655D" w:rsidRPr="00D467A4" w14:paraId="20DB4A8B" w14:textId="77777777" w:rsidTr="002901BC">
        <w:trPr>
          <w:trHeight w:val="20"/>
        </w:trPr>
        <w:tc>
          <w:tcPr>
            <w:tcW w:w="9639" w:type="dxa"/>
          </w:tcPr>
          <w:p w14:paraId="3482E984" w14:textId="77777777" w:rsidR="0079655D" w:rsidRPr="00664E62" w:rsidRDefault="0079655D"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Pr="00664E62">
              <w:rPr>
                <w:rFonts w:ascii="Arial" w:hAnsi="Arial" w:cs="Arial"/>
                <w:szCs w:val="20"/>
                <w:lang w:val="en-US"/>
              </w:rPr>
              <w:t>However, TenneT is only prepared to disclose the said information under the condition that it is recognised and treated as confidential by the Recipient Party.</w:t>
            </w:r>
          </w:p>
          <w:p w14:paraId="1D452B12" w14:textId="77777777" w:rsidR="0079655D" w:rsidRPr="00B64F66" w:rsidRDefault="0079655D" w:rsidP="009D39B6">
            <w:pPr>
              <w:pStyle w:val="Abstze"/>
              <w:numPr>
                <w:ilvl w:val="0"/>
                <w:numId w:val="0"/>
              </w:numPr>
              <w:spacing w:after="0" w:line="240" w:lineRule="atLeast"/>
              <w:jc w:val="left"/>
              <w:rPr>
                <w:lang w:val="en-US"/>
              </w:rPr>
            </w:pPr>
          </w:p>
          <w:p w14:paraId="01921B46" w14:textId="77777777" w:rsidR="0079655D" w:rsidRDefault="0079655D" w:rsidP="00AF77B3">
            <w:pPr>
              <w:spacing w:line="240" w:lineRule="atLeast"/>
              <w:rPr>
                <w:rFonts w:cs="Arial"/>
                <w:lang w:val="en-US"/>
              </w:rPr>
            </w:pPr>
          </w:p>
          <w:p w14:paraId="5D2CF5B7" w14:textId="77777777" w:rsidR="0079655D" w:rsidRPr="0040655C" w:rsidRDefault="0079655D"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79655D" w:rsidRPr="00D60F65" w14:paraId="3BC7285A" w14:textId="77777777" w:rsidTr="002901BC">
        <w:trPr>
          <w:trHeight w:val="20"/>
        </w:trPr>
        <w:tc>
          <w:tcPr>
            <w:tcW w:w="9639" w:type="dxa"/>
          </w:tcPr>
          <w:p w14:paraId="17C78C5E" w14:textId="77777777" w:rsidR="0079655D" w:rsidRPr="00274499" w:rsidRDefault="0079655D" w:rsidP="00B3320D">
            <w:pPr>
              <w:spacing w:line="260" w:lineRule="atLeast"/>
              <w:ind w:right="-299" w:hanging="1134"/>
              <w:jc w:val="center"/>
              <w:rPr>
                <w:rFonts w:cs="Arial"/>
                <w:b/>
                <w:sz w:val="22"/>
                <w:szCs w:val="22"/>
                <w:lang w:val="en-US"/>
              </w:rPr>
            </w:pPr>
          </w:p>
          <w:p w14:paraId="5D60ABC4" w14:textId="77777777" w:rsidR="004A1A1B" w:rsidRPr="00274499" w:rsidRDefault="004A1A1B" w:rsidP="00B3320D">
            <w:pPr>
              <w:spacing w:line="260" w:lineRule="atLeast"/>
              <w:ind w:right="-299" w:hanging="1134"/>
              <w:jc w:val="center"/>
              <w:rPr>
                <w:rFonts w:cs="Arial"/>
                <w:b/>
                <w:sz w:val="22"/>
                <w:szCs w:val="22"/>
                <w:lang w:val="en-US"/>
              </w:rPr>
            </w:pPr>
          </w:p>
          <w:p w14:paraId="60AA7231" w14:textId="77777777" w:rsidR="0079655D" w:rsidRPr="00D60F65" w:rsidRDefault="0079655D"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14:paraId="05EBA289" w14:textId="77777777" w:rsidR="0079655D" w:rsidRPr="00D60F65" w:rsidRDefault="0079655D" w:rsidP="00435A35">
            <w:pPr>
              <w:rPr>
                <w:rFonts w:cs="Arial"/>
                <w:sz w:val="22"/>
                <w:szCs w:val="22"/>
                <w:lang w:eastAsia="de-DE"/>
              </w:rPr>
            </w:pPr>
          </w:p>
        </w:tc>
      </w:tr>
      <w:tr w:rsidR="0079655D" w:rsidRPr="00D467A4" w14:paraId="499AC189" w14:textId="77777777" w:rsidTr="002901BC">
        <w:trPr>
          <w:trHeight w:val="20"/>
        </w:trPr>
        <w:tc>
          <w:tcPr>
            <w:tcW w:w="9639" w:type="dxa"/>
          </w:tcPr>
          <w:p w14:paraId="6263E294" w14:textId="77777777" w:rsidR="0079655D" w:rsidRPr="0040655C" w:rsidRDefault="0079655D"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14:paraId="2CF83876" w14:textId="77777777" w:rsidR="0079655D" w:rsidRPr="0040655C" w:rsidRDefault="0079655D" w:rsidP="00435A35">
            <w:pPr>
              <w:rPr>
                <w:rFonts w:cs="Arial"/>
                <w:lang w:val="en-US" w:eastAsia="de-DE"/>
              </w:rPr>
            </w:pPr>
          </w:p>
        </w:tc>
      </w:tr>
    </w:tbl>
    <w:p w14:paraId="50FF8739" w14:textId="77777777" w:rsidR="00AF77B3" w:rsidRPr="00B3320D" w:rsidRDefault="00AF77B3">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D467A4" w14:paraId="2BF09BF7" w14:textId="77777777" w:rsidTr="002901BC">
        <w:trPr>
          <w:trHeight w:val="20"/>
        </w:trPr>
        <w:tc>
          <w:tcPr>
            <w:tcW w:w="9639" w:type="dxa"/>
          </w:tcPr>
          <w:p w14:paraId="75F38978" w14:textId="77777777" w:rsidR="0079655D" w:rsidRPr="0040655C" w:rsidRDefault="0079655D"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14:paraId="1AEDB2C9" w14:textId="77777777" w:rsidR="0079655D" w:rsidRPr="0040655C" w:rsidRDefault="0079655D" w:rsidP="00B3320D">
            <w:pPr>
              <w:spacing w:line="260" w:lineRule="atLeast"/>
              <w:rPr>
                <w:rFonts w:cs="Arial"/>
                <w:lang w:val="en-US" w:eastAsia="de-DE"/>
              </w:rPr>
            </w:pPr>
          </w:p>
        </w:tc>
      </w:tr>
      <w:tr w:rsidR="0079655D" w:rsidRPr="005574B1" w14:paraId="4B843F49" w14:textId="77777777" w:rsidTr="002901BC">
        <w:trPr>
          <w:trHeight w:val="20"/>
        </w:trPr>
        <w:tc>
          <w:tcPr>
            <w:tcW w:w="9639" w:type="dxa"/>
          </w:tcPr>
          <w:p w14:paraId="489C2F7E" w14:textId="77777777" w:rsidR="0079655D" w:rsidRPr="002901BC" w:rsidRDefault="0079655D" w:rsidP="00B3320D">
            <w:pPr>
              <w:spacing w:line="260" w:lineRule="atLeast"/>
              <w:rPr>
                <w:rFonts w:cs="Arial"/>
                <w:sz w:val="22"/>
                <w:szCs w:val="22"/>
                <w:lang w:val="en-US" w:eastAsia="de-DE"/>
              </w:rPr>
            </w:pPr>
          </w:p>
          <w:p w14:paraId="2AD6C9AB" w14:textId="77777777" w:rsidR="0079655D" w:rsidRPr="005574B1" w:rsidRDefault="0079655D"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14:paraId="0D03773F" w14:textId="77777777" w:rsidR="0079655D" w:rsidRPr="005574B1" w:rsidRDefault="0079655D"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Non-Disclosure</w:t>
            </w:r>
          </w:p>
          <w:p w14:paraId="5902625C" w14:textId="77777777" w:rsidR="0079655D" w:rsidRPr="005574B1" w:rsidRDefault="0079655D" w:rsidP="00B3320D">
            <w:pPr>
              <w:spacing w:line="260" w:lineRule="atLeast"/>
              <w:rPr>
                <w:rFonts w:cs="Arial"/>
                <w:sz w:val="22"/>
                <w:szCs w:val="22"/>
                <w:lang w:val="en-US" w:eastAsia="de-DE"/>
              </w:rPr>
            </w:pPr>
          </w:p>
        </w:tc>
      </w:tr>
      <w:tr w:rsidR="0079655D" w:rsidRPr="00D467A4" w14:paraId="1AE43B63" w14:textId="77777777" w:rsidTr="002901BC">
        <w:trPr>
          <w:trHeight w:val="20"/>
        </w:trPr>
        <w:tc>
          <w:tcPr>
            <w:tcW w:w="9639" w:type="dxa"/>
          </w:tcPr>
          <w:p w14:paraId="2B7CA185" w14:textId="77777777" w:rsidR="0079655D" w:rsidRPr="006609C7" w:rsidRDefault="0079655D"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14:paraId="674D4886" w14:textId="77777777" w:rsidR="0079655D" w:rsidRPr="0009042C" w:rsidRDefault="0079655D" w:rsidP="00B3320D">
            <w:pPr>
              <w:spacing w:line="260" w:lineRule="atLeast"/>
              <w:rPr>
                <w:rFonts w:cs="Arial"/>
                <w:lang w:val="en-US" w:eastAsia="de-DE"/>
              </w:rPr>
            </w:pPr>
          </w:p>
        </w:tc>
      </w:tr>
      <w:tr w:rsidR="0079655D" w:rsidRPr="00D467A4" w14:paraId="3082B7F6" w14:textId="77777777" w:rsidTr="002901BC">
        <w:trPr>
          <w:trHeight w:val="20"/>
        </w:trPr>
        <w:tc>
          <w:tcPr>
            <w:tcW w:w="9639" w:type="dxa"/>
          </w:tcPr>
          <w:p w14:paraId="40C6FE5C" w14:textId="77777777" w:rsidR="0079655D" w:rsidRPr="006609C7" w:rsidRDefault="0079655D"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14:paraId="2D18EE82" w14:textId="77777777" w:rsidR="0079655D" w:rsidRPr="00E15D15" w:rsidRDefault="0079655D" w:rsidP="00B3320D">
            <w:pPr>
              <w:spacing w:line="260" w:lineRule="atLeast"/>
              <w:rPr>
                <w:rFonts w:cs="Arial"/>
                <w:lang w:val="en-US" w:eastAsia="de-DE"/>
              </w:rPr>
            </w:pPr>
          </w:p>
        </w:tc>
      </w:tr>
      <w:tr w:rsidR="0079655D" w:rsidRPr="00D467A4" w14:paraId="595F973A" w14:textId="77777777" w:rsidTr="002901BC">
        <w:trPr>
          <w:trHeight w:val="20"/>
        </w:trPr>
        <w:tc>
          <w:tcPr>
            <w:tcW w:w="9639" w:type="dxa"/>
          </w:tcPr>
          <w:p w14:paraId="21D81DD4" w14:textId="77777777" w:rsidR="0079655D" w:rsidRPr="005F52C7" w:rsidRDefault="0079655D"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14:paraId="7AFD1019" w14:textId="77777777" w:rsidR="0079655D" w:rsidRPr="0009042C" w:rsidRDefault="0079655D" w:rsidP="00435A35">
            <w:pPr>
              <w:rPr>
                <w:rFonts w:cs="Arial"/>
                <w:lang w:val="en-US" w:eastAsia="de-DE"/>
              </w:rPr>
            </w:pPr>
          </w:p>
        </w:tc>
      </w:tr>
      <w:tr w:rsidR="0079655D" w:rsidRPr="00D467A4" w14:paraId="0E06AF6A" w14:textId="77777777" w:rsidTr="002901BC">
        <w:trPr>
          <w:trHeight w:val="20"/>
        </w:trPr>
        <w:tc>
          <w:tcPr>
            <w:tcW w:w="9639" w:type="dxa"/>
          </w:tcPr>
          <w:p w14:paraId="4339678F" w14:textId="77777777" w:rsidR="0079655D" w:rsidRPr="00BC1CAE" w:rsidRDefault="0079655D"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14:paraId="0C46AA7A" w14:textId="77777777" w:rsidR="0079655D" w:rsidRPr="009F7D58" w:rsidRDefault="0079655D" w:rsidP="00435A35">
            <w:pPr>
              <w:rPr>
                <w:rFonts w:cs="Arial"/>
                <w:lang w:val="en-US" w:eastAsia="de-DE"/>
              </w:rPr>
            </w:pPr>
          </w:p>
        </w:tc>
      </w:tr>
      <w:tr w:rsidR="0079655D" w:rsidRPr="00D467A4" w14:paraId="1110CF67" w14:textId="77777777" w:rsidTr="002901BC">
        <w:trPr>
          <w:trHeight w:val="20"/>
        </w:trPr>
        <w:tc>
          <w:tcPr>
            <w:tcW w:w="9639" w:type="dxa"/>
          </w:tcPr>
          <w:p w14:paraId="3184259D" w14:textId="77777777" w:rsidR="0079655D" w:rsidRPr="006609C7" w:rsidRDefault="0079655D"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w:t>
            </w:r>
            <w:r w:rsidRPr="006609C7">
              <w:rPr>
                <w:rFonts w:ascii="Arial" w:hAnsi="Arial" w:cs="Arial"/>
                <w:szCs w:val="20"/>
                <w:lang w:val="en-US"/>
              </w:rPr>
              <w:lastRenderedPageBreak/>
              <w:t xml:space="preserve">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14:paraId="35A3C30A" w14:textId="77777777" w:rsidR="0079655D" w:rsidRPr="006609C7" w:rsidRDefault="0079655D" w:rsidP="006723BF">
            <w:pPr>
              <w:pStyle w:val="Abstze"/>
              <w:numPr>
                <w:ilvl w:val="0"/>
                <w:numId w:val="0"/>
              </w:numPr>
              <w:spacing w:after="0"/>
              <w:rPr>
                <w:rFonts w:ascii="Arial" w:hAnsi="Arial" w:cs="Arial"/>
                <w:szCs w:val="20"/>
                <w:lang w:val="en-US"/>
              </w:rPr>
            </w:pPr>
          </w:p>
          <w:p w14:paraId="667E29A7" w14:textId="77777777" w:rsidR="0079655D" w:rsidRPr="009F7D58" w:rsidRDefault="0079655D" w:rsidP="00435A35">
            <w:pPr>
              <w:rPr>
                <w:rFonts w:cs="Arial"/>
                <w:lang w:val="en-US" w:eastAsia="de-DE"/>
              </w:rPr>
            </w:pPr>
          </w:p>
        </w:tc>
      </w:tr>
      <w:tr w:rsidR="0079655D" w:rsidRPr="00D467A4" w14:paraId="601D3383" w14:textId="77777777" w:rsidTr="002901BC">
        <w:trPr>
          <w:trHeight w:val="20"/>
        </w:trPr>
        <w:tc>
          <w:tcPr>
            <w:tcW w:w="9639" w:type="dxa"/>
          </w:tcPr>
          <w:p w14:paraId="4CF14CD4" w14:textId="77777777" w:rsidR="0079655D" w:rsidRPr="009F7D58" w:rsidRDefault="0079655D"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lastRenderedPageBreak/>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79655D" w:rsidRPr="00897DD6" w14:paraId="3458A8EC" w14:textId="77777777" w:rsidTr="002901BC">
        <w:trPr>
          <w:trHeight w:val="20"/>
        </w:trPr>
        <w:tc>
          <w:tcPr>
            <w:tcW w:w="9639" w:type="dxa"/>
          </w:tcPr>
          <w:p w14:paraId="5B4E01E7" w14:textId="77777777" w:rsidR="0079655D" w:rsidRPr="004C4B81" w:rsidRDefault="0079655D"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14:paraId="5AABE889" w14:textId="77777777" w:rsidR="0079655D" w:rsidRPr="004C4B81" w:rsidRDefault="0079655D" w:rsidP="00E15D15">
            <w:pPr>
              <w:widowControl/>
              <w:adjustRightInd/>
              <w:spacing w:line="260" w:lineRule="atLeast"/>
              <w:ind w:right="266"/>
              <w:jc w:val="both"/>
              <w:rPr>
                <w:rFonts w:cs="Arial"/>
                <w:lang w:val="en-US" w:eastAsia="de-DE"/>
              </w:rPr>
            </w:pPr>
          </w:p>
          <w:p w14:paraId="1004C602" w14:textId="77777777" w:rsidR="0079655D" w:rsidRPr="004C4B81" w:rsidRDefault="0079655D"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14:paraId="222D0655" w14:textId="77777777" w:rsidR="0079655D" w:rsidRPr="004C4B81" w:rsidRDefault="0079655D" w:rsidP="00E15D15">
            <w:pPr>
              <w:ind w:right="266"/>
              <w:rPr>
                <w:rFonts w:cs="Arial"/>
                <w:lang w:eastAsia="de-DE"/>
              </w:rPr>
            </w:pPr>
          </w:p>
        </w:tc>
      </w:tr>
      <w:tr w:rsidR="0079655D" w:rsidRPr="00D467A4" w14:paraId="04DE3D10" w14:textId="77777777" w:rsidTr="002901BC">
        <w:trPr>
          <w:trHeight w:val="20"/>
        </w:trPr>
        <w:tc>
          <w:tcPr>
            <w:tcW w:w="9639" w:type="dxa"/>
          </w:tcPr>
          <w:p w14:paraId="4855287F" w14:textId="77777777" w:rsidR="0079655D" w:rsidRPr="004C4B81" w:rsidRDefault="0079655D"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14:paraId="2BDAD305" w14:textId="77777777" w:rsidR="0079655D" w:rsidRPr="004C4B81" w:rsidRDefault="0079655D" w:rsidP="00435A35">
            <w:pPr>
              <w:rPr>
                <w:rFonts w:cs="Arial"/>
                <w:lang w:val="en-US" w:eastAsia="de-DE"/>
              </w:rPr>
            </w:pPr>
          </w:p>
        </w:tc>
      </w:tr>
      <w:tr w:rsidR="0079655D" w:rsidRPr="00D467A4" w14:paraId="1D30B527" w14:textId="77777777" w:rsidTr="002901BC">
        <w:trPr>
          <w:trHeight w:val="20"/>
        </w:trPr>
        <w:tc>
          <w:tcPr>
            <w:tcW w:w="9639" w:type="dxa"/>
          </w:tcPr>
          <w:p w14:paraId="5CD944E9" w14:textId="77777777" w:rsidR="0079655D" w:rsidRDefault="0079655D"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14:paraId="16357E08" w14:textId="77777777" w:rsidR="0079655D" w:rsidRPr="002674E6" w:rsidRDefault="0079655D" w:rsidP="00435A35">
            <w:pPr>
              <w:rPr>
                <w:rFonts w:cs="Arial"/>
                <w:lang w:val="en-US" w:eastAsia="de-DE"/>
              </w:rPr>
            </w:pPr>
          </w:p>
        </w:tc>
      </w:tr>
      <w:tr w:rsidR="0079655D" w:rsidRPr="00D467A4" w14:paraId="7F34A69E" w14:textId="77777777" w:rsidTr="002901BC">
        <w:trPr>
          <w:trHeight w:val="20"/>
        </w:trPr>
        <w:tc>
          <w:tcPr>
            <w:tcW w:w="9639" w:type="dxa"/>
          </w:tcPr>
          <w:p w14:paraId="70A24E24" w14:textId="77777777" w:rsidR="0079655D" w:rsidRPr="00454193" w:rsidRDefault="0079655D"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14:paraId="1D73D164" w14:textId="77777777" w:rsidR="0079655D" w:rsidRPr="00647E8B" w:rsidRDefault="0079655D" w:rsidP="00435A35">
            <w:pPr>
              <w:rPr>
                <w:rFonts w:cs="Arial"/>
                <w:lang w:val="en-US" w:eastAsia="de-DE"/>
              </w:rPr>
            </w:pPr>
          </w:p>
        </w:tc>
      </w:tr>
      <w:tr w:rsidR="0079655D" w:rsidRPr="00D467A4" w14:paraId="48B3D41B" w14:textId="77777777" w:rsidTr="002901BC">
        <w:trPr>
          <w:trHeight w:val="20"/>
        </w:trPr>
        <w:tc>
          <w:tcPr>
            <w:tcW w:w="9639" w:type="dxa"/>
          </w:tcPr>
          <w:p w14:paraId="21E8EB91" w14:textId="77777777" w:rsidR="0079655D" w:rsidRDefault="0079655D"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14:paraId="028F2610" w14:textId="77777777" w:rsidR="0079655D" w:rsidRPr="00647E8B" w:rsidRDefault="0079655D" w:rsidP="00435A35">
            <w:pPr>
              <w:rPr>
                <w:rFonts w:cs="Arial"/>
                <w:lang w:val="en-US" w:eastAsia="de-DE"/>
              </w:rPr>
            </w:pPr>
          </w:p>
        </w:tc>
      </w:tr>
      <w:tr w:rsidR="0079655D" w:rsidRPr="00D467A4" w14:paraId="1F82D470" w14:textId="77777777" w:rsidTr="002901BC">
        <w:trPr>
          <w:trHeight w:val="20"/>
        </w:trPr>
        <w:tc>
          <w:tcPr>
            <w:tcW w:w="9639" w:type="dxa"/>
          </w:tcPr>
          <w:p w14:paraId="35DCF4AA" w14:textId="77777777" w:rsidR="0079655D" w:rsidRPr="00364E77" w:rsidRDefault="0079655D"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14:paraId="78A2FAF7" w14:textId="77777777" w:rsidR="0079655D" w:rsidRPr="00364E77" w:rsidRDefault="0079655D" w:rsidP="00435A35">
            <w:pPr>
              <w:rPr>
                <w:rFonts w:cs="Arial"/>
                <w:lang w:val="en-US" w:eastAsia="de-DE"/>
              </w:rPr>
            </w:pPr>
          </w:p>
        </w:tc>
      </w:tr>
      <w:tr w:rsidR="0079655D" w:rsidRPr="008C7BA6" w14:paraId="00D41738" w14:textId="77777777" w:rsidTr="002901BC">
        <w:trPr>
          <w:trHeight w:val="20"/>
        </w:trPr>
        <w:tc>
          <w:tcPr>
            <w:tcW w:w="9639" w:type="dxa"/>
          </w:tcPr>
          <w:p w14:paraId="5F2B4740" w14:textId="77777777" w:rsidR="002608FC" w:rsidRDefault="002608FC" w:rsidP="00B3320D">
            <w:pPr>
              <w:pStyle w:val="Abstze"/>
              <w:numPr>
                <w:ilvl w:val="0"/>
                <w:numId w:val="0"/>
              </w:numPr>
              <w:spacing w:after="0"/>
              <w:ind w:hanging="851"/>
              <w:jc w:val="center"/>
              <w:rPr>
                <w:rFonts w:ascii="Arial" w:hAnsi="Arial" w:cs="Arial"/>
                <w:b/>
                <w:sz w:val="22"/>
                <w:szCs w:val="22"/>
                <w:lang w:val="en-US"/>
              </w:rPr>
            </w:pPr>
          </w:p>
          <w:p w14:paraId="1A595C63"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7139F849"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57F6FCCF"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394D6771"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69863683"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5CE61EF9"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033F1911" w14:textId="77777777" w:rsidR="002901BC" w:rsidRDefault="002901BC" w:rsidP="00B3320D">
            <w:pPr>
              <w:pStyle w:val="Abstze"/>
              <w:numPr>
                <w:ilvl w:val="0"/>
                <w:numId w:val="0"/>
              </w:numPr>
              <w:spacing w:after="0"/>
              <w:ind w:hanging="851"/>
              <w:jc w:val="center"/>
              <w:rPr>
                <w:rFonts w:ascii="Arial" w:hAnsi="Arial" w:cs="Arial"/>
                <w:b/>
                <w:sz w:val="22"/>
                <w:szCs w:val="22"/>
                <w:lang w:val="en-US"/>
              </w:rPr>
            </w:pPr>
          </w:p>
          <w:p w14:paraId="26B15627" w14:textId="77777777" w:rsidR="002608FC" w:rsidRPr="002901BC" w:rsidRDefault="002608FC" w:rsidP="00B3320D">
            <w:pPr>
              <w:pStyle w:val="Abstze"/>
              <w:numPr>
                <w:ilvl w:val="0"/>
                <w:numId w:val="0"/>
              </w:numPr>
              <w:spacing w:after="0"/>
              <w:ind w:hanging="851"/>
              <w:jc w:val="center"/>
              <w:rPr>
                <w:rFonts w:ascii="Arial" w:hAnsi="Arial" w:cs="Arial"/>
                <w:b/>
                <w:sz w:val="22"/>
                <w:szCs w:val="22"/>
                <w:lang w:val="en-US"/>
              </w:rPr>
            </w:pPr>
          </w:p>
          <w:p w14:paraId="7C42D9C1" w14:textId="77777777" w:rsidR="0079655D" w:rsidRPr="008C7BA6" w:rsidRDefault="0079655D"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lastRenderedPageBreak/>
              <w:t>Article 3 - Exceptions</w:t>
            </w:r>
          </w:p>
          <w:p w14:paraId="2BA8ABD0" w14:textId="77777777" w:rsidR="0079655D" w:rsidRPr="008C7BA6" w:rsidRDefault="0079655D" w:rsidP="00435A35">
            <w:pPr>
              <w:spacing w:line="276" w:lineRule="auto"/>
              <w:rPr>
                <w:rFonts w:cs="Arial"/>
                <w:sz w:val="22"/>
                <w:szCs w:val="22"/>
                <w:lang w:eastAsia="de-DE"/>
              </w:rPr>
            </w:pPr>
          </w:p>
        </w:tc>
      </w:tr>
      <w:tr w:rsidR="0079655D" w:rsidRPr="00D467A4" w14:paraId="03AF3323" w14:textId="77777777" w:rsidTr="002901BC">
        <w:trPr>
          <w:trHeight w:val="20"/>
        </w:trPr>
        <w:tc>
          <w:tcPr>
            <w:tcW w:w="9639" w:type="dxa"/>
          </w:tcPr>
          <w:p w14:paraId="638B6BD9" w14:textId="77777777" w:rsidR="0079655D" w:rsidRPr="006609C7" w:rsidRDefault="0079655D"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lastRenderedPageBreak/>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14:paraId="76B55FFD" w14:textId="77777777" w:rsidR="0079655D" w:rsidRPr="006609C7" w:rsidRDefault="0079655D" w:rsidP="00435A35">
            <w:pPr>
              <w:pStyle w:val="Abstze"/>
              <w:numPr>
                <w:ilvl w:val="0"/>
                <w:numId w:val="0"/>
              </w:numPr>
              <w:spacing w:after="0"/>
              <w:ind w:left="284"/>
              <w:rPr>
                <w:rFonts w:ascii="Arial" w:hAnsi="Arial" w:cs="Arial"/>
                <w:szCs w:val="20"/>
                <w:lang w:val="en-GB"/>
              </w:rPr>
            </w:pPr>
          </w:p>
          <w:p w14:paraId="27305164" w14:textId="77777777" w:rsidR="0079655D" w:rsidRPr="00413629" w:rsidRDefault="0079655D" w:rsidP="00435A35">
            <w:pPr>
              <w:rPr>
                <w:rFonts w:cs="Arial"/>
                <w:lang w:val="en-GB" w:eastAsia="de-DE"/>
              </w:rPr>
            </w:pPr>
          </w:p>
        </w:tc>
      </w:tr>
      <w:tr w:rsidR="0079655D" w:rsidRPr="00D467A4" w14:paraId="73B9181F" w14:textId="77777777" w:rsidTr="002901BC">
        <w:trPr>
          <w:trHeight w:val="20"/>
        </w:trPr>
        <w:tc>
          <w:tcPr>
            <w:tcW w:w="9639" w:type="dxa"/>
          </w:tcPr>
          <w:p w14:paraId="734975F7" w14:textId="77777777" w:rsidR="0079655D" w:rsidRPr="00640E03" w:rsidRDefault="0079655D"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Pr="00B3320D">
              <w:rPr>
                <w:rFonts w:ascii="Arial" w:hAnsi="Arial" w:cs="Arial"/>
                <w:szCs w:val="20"/>
                <w:lang w:val="en-GB"/>
              </w:rPr>
              <w:softHyphen/>
              <w:t>sure or becomes public knowledge with</w:t>
            </w:r>
            <w:r w:rsidRPr="00B3320D">
              <w:rPr>
                <w:rFonts w:ascii="Arial" w:hAnsi="Arial" w:cs="Arial"/>
                <w:szCs w:val="20"/>
                <w:lang w:val="en-GB"/>
              </w:rPr>
              <w:softHyphen/>
              <w:t>out breach of this non-disclosure agree</w:t>
            </w:r>
            <w:r w:rsidRPr="00B3320D">
              <w:rPr>
                <w:rFonts w:ascii="Arial" w:hAnsi="Arial" w:cs="Arial"/>
                <w:szCs w:val="20"/>
                <w:lang w:val="en-GB"/>
              </w:rPr>
              <w:softHyphen/>
              <w:t xml:space="preserve">ment taking place, </w:t>
            </w:r>
          </w:p>
          <w:p w14:paraId="643F8408" w14:textId="77777777" w:rsidR="0079655D" w:rsidRPr="00413629" w:rsidRDefault="0079655D" w:rsidP="00435A35">
            <w:pPr>
              <w:rPr>
                <w:rFonts w:cs="Arial"/>
                <w:lang w:val="en-GB" w:eastAsia="de-DE"/>
              </w:rPr>
            </w:pPr>
          </w:p>
        </w:tc>
      </w:tr>
      <w:tr w:rsidR="0079655D" w:rsidRPr="00D467A4" w14:paraId="37D3F656" w14:textId="77777777" w:rsidTr="002901BC">
        <w:trPr>
          <w:trHeight w:val="20"/>
        </w:trPr>
        <w:tc>
          <w:tcPr>
            <w:tcW w:w="9639" w:type="dxa"/>
          </w:tcPr>
          <w:p w14:paraId="1EDF48B6" w14:textId="77777777" w:rsidR="0079655D" w:rsidRPr="006609C7" w:rsidRDefault="0079655D"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14:paraId="76F533DF" w14:textId="77777777" w:rsidR="0079655D" w:rsidRPr="00413629" w:rsidRDefault="0079655D" w:rsidP="00967F1B">
            <w:pPr>
              <w:spacing w:line="260" w:lineRule="atLeast"/>
              <w:rPr>
                <w:rFonts w:cs="Arial"/>
                <w:lang w:val="en-GB" w:eastAsia="de-DE"/>
              </w:rPr>
            </w:pPr>
          </w:p>
        </w:tc>
      </w:tr>
    </w:tbl>
    <w:p w14:paraId="599E12B0" w14:textId="77777777" w:rsidR="00641140" w:rsidRPr="002901BC"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D467A4" w14:paraId="7858144C" w14:textId="77777777" w:rsidTr="002901BC">
        <w:trPr>
          <w:trHeight w:val="20"/>
        </w:trPr>
        <w:tc>
          <w:tcPr>
            <w:tcW w:w="9639" w:type="dxa"/>
          </w:tcPr>
          <w:p w14:paraId="203FD4CA" w14:textId="77777777" w:rsidR="0079655D" w:rsidRPr="006609C7" w:rsidRDefault="0079655D"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14:paraId="4BD2FD9C" w14:textId="77777777" w:rsidR="0079655D" w:rsidRPr="00413629" w:rsidRDefault="0079655D" w:rsidP="00967F1B">
            <w:pPr>
              <w:spacing w:line="260" w:lineRule="atLeast"/>
              <w:rPr>
                <w:rFonts w:cs="Arial"/>
                <w:lang w:val="en-US" w:eastAsia="de-DE"/>
              </w:rPr>
            </w:pPr>
          </w:p>
        </w:tc>
      </w:tr>
      <w:tr w:rsidR="0079655D" w:rsidRPr="00D467A4" w14:paraId="014856F2" w14:textId="77777777" w:rsidTr="002901BC">
        <w:trPr>
          <w:trHeight w:val="20"/>
        </w:trPr>
        <w:tc>
          <w:tcPr>
            <w:tcW w:w="9639" w:type="dxa"/>
          </w:tcPr>
          <w:p w14:paraId="660FA483" w14:textId="77777777" w:rsidR="0079655D" w:rsidRPr="006609C7" w:rsidRDefault="0079655D"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 xml:space="preserve">public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p>
          <w:p w14:paraId="01272E01" w14:textId="77777777" w:rsidR="0079655D" w:rsidRPr="006609C7" w:rsidRDefault="0079655D" w:rsidP="00967F1B">
            <w:pPr>
              <w:pStyle w:val="Abstze"/>
              <w:numPr>
                <w:ilvl w:val="0"/>
                <w:numId w:val="0"/>
              </w:numPr>
              <w:spacing w:after="0"/>
              <w:ind w:left="774"/>
              <w:rPr>
                <w:rFonts w:ascii="Arial" w:hAnsi="Arial" w:cs="Arial"/>
                <w:szCs w:val="20"/>
                <w:lang w:val="en-US"/>
              </w:rPr>
            </w:pPr>
          </w:p>
          <w:p w14:paraId="571C8BDE" w14:textId="77777777" w:rsidR="0079655D" w:rsidRPr="006609C7" w:rsidRDefault="0079655D" w:rsidP="00967F1B">
            <w:pPr>
              <w:pStyle w:val="Abstze"/>
              <w:numPr>
                <w:ilvl w:val="0"/>
                <w:numId w:val="0"/>
              </w:numPr>
              <w:spacing w:after="0"/>
              <w:ind w:left="774"/>
              <w:rPr>
                <w:rFonts w:ascii="Arial" w:hAnsi="Arial" w:cs="Arial"/>
                <w:szCs w:val="20"/>
                <w:lang w:val="en-US"/>
              </w:rPr>
            </w:pPr>
          </w:p>
          <w:p w14:paraId="7D2EA3A1" w14:textId="77777777" w:rsidR="0079655D" w:rsidRPr="009F2112" w:rsidRDefault="0079655D" w:rsidP="00967F1B">
            <w:pPr>
              <w:spacing w:line="260" w:lineRule="atLeast"/>
              <w:rPr>
                <w:rFonts w:cs="Arial"/>
                <w:lang w:val="en-US" w:eastAsia="de-DE"/>
              </w:rPr>
            </w:pPr>
          </w:p>
        </w:tc>
      </w:tr>
      <w:tr w:rsidR="0079655D" w:rsidRPr="00D467A4" w14:paraId="7107CFED" w14:textId="77777777" w:rsidTr="002901BC">
        <w:trPr>
          <w:trHeight w:val="20"/>
        </w:trPr>
        <w:tc>
          <w:tcPr>
            <w:tcW w:w="9639" w:type="dxa"/>
          </w:tcPr>
          <w:p w14:paraId="4F3C3457" w14:textId="77777777" w:rsidR="0079655D" w:rsidRPr="000E19D3" w:rsidRDefault="0079655D"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14:paraId="53B0D0D0" w14:textId="77777777" w:rsidR="0079655D" w:rsidRPr="009F2112" w:rsidRDefault="0079655D" w:rsidP="00B3320D">
            <w:pPr>
              <w:spacing w:line="260" w:lineRule="atLeast"/>
              <w:rPr>
                <w:rFonts w:cs="Arial"/>
                <w:lang w:val="en-US" w:eastAsia="de-DE"/>
              </w:rPr>
            </w:pPr>
          </w:p>
          <w:p w14:paraId="41478D62" w14:textId="77777777" w:rsidR="0079655D" w:rsidRPr="009F2112" w:rsidRDefault="0079655D" w:rsidP="00B3320D">
            <w:pPr>
              <w:spacing w:line="260" w:lineRule="atLeast"/>
              <w:rPr>
                <w:rFonts w:cs="Arial"/>
                <w:lang w:val="en-US" w:eastAsia="de-DE"/>
              </w:rPr>
            </w:pPr>
          </w:p>
        </w:tc>
      </w:tr>
      <w:tr w:rsidR="0079655D" w:rsidRPr="008C7BA6" w14:paraId="2B29C627" w14:textId="77777777" w:rsidTr="002901BC">
        <w:trPr>
          <w:trHeight w:val="20"/>
        </w:trPr>
        <w:tc>
          <w:tcPr>
            <w:tcW w:w="9639" w:type="dxa"/>
          </w:tcPr>
          <w:p w14:paraId="53C0A371" w14:textId="77777777" w:rsidR="0079655D" w:rsidRPr="008C7BA6" w:rsidRDefault="0079655D" w:rsidP="00640E03">
            <w:pPr>
              <w:pStyle w:val="Paragraph"/>
              <w:spacing w:before="0" w:after="0"/>
              <w:ind w:left="0" w:firstLine="0"/>
              <w:jc w:val="both"/>
              <w:rPr>
                <w:rFonts w:ascii="Arial" w:hAnsi="Arial" w:cs="Arial"/>
                <w:szCs w:val="22"/>
                <w:lang w:val="en-US"/>
              </w:rPr>
            </w:pPr>
          </w:p>
          <w:p w14:paraId="204B1911" w14:textId="77777777" w:rsidR="0079655D" w:rsidRPr="008C7BA6" w:rsidRDefault="0079655D" w:rsidP="00B3320D">
            <w:pPr>
              <w:pStyle w:val="Paragraph"/>
              <w:spacing w:before="0" w:after="0"/>
              <w:ind w:left="0" w:firstLine="0"/>
              <w:rPr>
                <w:rFonts w:ascii="Arial" w:hAnsi="Arial" w:cs="Arial"/>
                <w:szCs w:val="22"/>
              </w:rPr>
            </w:pPr>
            <w:r w:rsidRPr="008C7BA6">
              <w:rPr>
                <w:rFonts w:ascii="Arial" w:hAnsi="Arial" w:cs="Arial"/>
                <w:szCs w:val="22"/>
              </w:rPr>
              <w:t>Article 4 - Rights</w:t>
            </w:r>
          </w:p>
          <w:p w14:paraId="7C0D740B" w14:textId="77777777" w:rsidR="0079655D" w:rsidRPr="008C7BA6" w:rsidRDefault="0079655D" w:rsidP="00B3320D">
            <w:pPr>
              <w:spacing w:line="260" w:lineRule="atLeast"/>
              <w:rPr>
                <w:rFonts w:cs="Arial"/>
                <w:sz w:val="22"/>
                <w:szCs w:val="22"/>
                <w:lang w:eastAsia="de-DE"/>
              </w:rPr>
            </w:pPr>
          </w:p>
        </w:tc>
      </w:tr>
      <w:tr w:rsidR="0079655D" w:rsidRPr="00D467A4" w14:paraId="340CA6C5" w14:textId="77777777" w:rsidTr="002901BC">
        <w:trPr>
          <w:trHeight w:val="20"/>
        </w:trPr>
        <w:tc>
          <w:tcPr>
            <w:tcW w:w="9639" w:type="dxa"/>
          </w:tcPr>
          <w:p w14:paraId="7CA39F41" w14:textId="77777777" w:rsidR="0079655D" w:rsidRPr="006609C7" w:rsidRDefault="0079655D"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14:paraId="2C217FB1" w14:textId="77777777" w:rsidR="0079655D" w:rsidRPr="00E15D15" w:rsidRDefault="0079655D" w:rsidP="00435A35">
            <w:pPr>
              <w:pStyle w:val="Abstze"/>
              <w:numPr>
                <w:ilvl w:val="0"/>
                <w:numId w:val="0"/>
              </w:numPr>
              <w:spacing w:after="0"/>
              <w:ind w:left="851" w:hanging="567"/>
              <w:rPr>
                <w:rFonts w:ascii="Arial" w:hAnsi="Arial" w:cs="Arial"/>
                <w:szCs w:val="20"/>
                <w:lang w:val="en-GB"/>
              </w:rPr>
            </w:pPr>
          </w:p>
          <w:p w14:paraId="59B5F1DE" w14:textId="77777777" w:rsidR="0079655D" w:rsidRPr="00EC776B" w:rsidRDefault="0079655D" w:rsidP="00435A35">
            <w:pPr>
              <w:rPr>
                <w:rFonts w:cs="Arial"/>
                <w:lang w:val="en-GB" w:eastAsia="de-DE"/>
              </w:rPr>
            </w:pPr>
          </w:p>
        </w:tc>
      </w:tr>
      <w:tr w:rsidR="0079655D" w:rsidRPr="00D467A4" w14:paraId="55D20C9F" w14:textId="77777777" w:rsidTr="002901BC">
        <w:trPr>
          <w:trHeight w:val="20"/>
        </w:trPr>
        <w:tc>
          <w:tcPr>
            <w:tcW w:w="9639" w:type="dxa"/>
          </w:tcPr>
          <w:p w14:paraId="6466943A" w14:textId="77777777" w:rsidR="0079655D" w:rsidRPr="006609C7" w:rsidRDefault="0079655D"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14:paraId="4E516BE8" w14:textId="77777777" w:rsidR="0079655D" w:rsidRPr="006609C7" w:rsidRDefault="0079655D" w:rsidP="00435A35">
            <w:pPr>
              <w:pStyle w:val="Abstze"/>
              <w:numPr>
                <w:ilvl w:val="0"/>
                <w:numId w:val="0"/>
              </w:numPr>
              <w:spacing w:after="0"/>
              <w:ind w:left="567"/>
              <w:rPr>
                <w:rFonts w:ascii="Arial" w:hAnsi="Arial" w:cs="Arial"/>
                <w:szCs w:val="20"/>
                <w:lang w:val="en-GB" w:eastAsia="en-GB"/>
              </w:rPr>
            </w:pPr>
          </w:p>
          <w:p w14:paraId="7C369A80" w14:textId="77777777" w:rsidR="0079655D" w:rsidRPr="00B575C5" w:rsidRDefault="0079655D" w:rsidP="00435A35">
            <w:pPr>
              <w:rPr>
                <w:rFonts w:cs="Arial"/>
                <w:lang w:val="en-GB" w:eastAsia="de-DE"/>
              </w:rPr>
            </w:pPr>
          </w:p>
        </w:tc>
      </w:tr>
    </w:tbl>
    <w:p w14:paraId="763B0DCB" w14:textId="77777777" w:rsidR="00641140" w:rsidRPr="00274499"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D467A4" w14:paraId="1F7A06B5" w14:textId="77777777" w:rsidTr="002901BC">
        <w:trPr>
          <w:trHeight w:val="20"/>
        </w:trPr>
        <w:tc>
          <w:tcPr>
            <w:tcW w:w="9639" w:type="dxa"/>
          </w:tcPr>
          <w:p w14:paraId="528D2360" w14:textId="77777777" w:rsidR="0079655D" w:rsidRPr="006609C7" w:rsidRDefault="0079655D"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14:paraId="0B92F2D2" w14:textId="77777777" w:rsidR="0079655D" w:rsidRPr="00B575C5" w:rsidRDefault="0079655D" w:rsidP="00B3320D">
            <w:pPr>
              <w:spacing w:line="260" w:lineRule="atLeast"/>
              <w:rPr>
                <w:rFonts w:cs="Arial"/>
                <w:lang w:val="en-GB" w:eastAsia="de-DE"/>
              </w:rPr>
            </w:pPr>
          </w:p>
        </w:tc>
      </w:tr>
      <w:tr w:rsidR="0079655D" w:rsidRPr="008C7BA6" w14:paraId="697421BB" w14:textId="77777777" w:rsidTr="002901BC">
        <w:trPr>
          <w:trHeight w:val="20"/>
        </w:trPr>
        <w:tc>
          <w:tcPr>
            <w:tcW w:w="9639" w:type="dxa"/>
          </w:tcPr>
          <w:p w14:paraId="27600BDF" w14:textId="77777777" w:rsidR="0079655D" w:rsidRDefault="0079655D" w:rsidP="00640E03">
            <w:pPr>
              <w:pStyle w:val="Listenabsatz"/>
              <w:spacing w:after="0"/>
              <w:ind w:left="567"/>
              <w:jc w:val="center"/>
              <w:rPr>
                <w:rFonts w:ascii="Arial" w:hAnsi="Arial" w:cs="Arial"/>
                <w:b/>
                <w:sz w:val="22"/>
                <w:szCs w:val="22"/>
                <w:lang w:val="en-US"/>
              </w:rPr>
            </w:pPr>
          </w:p>
          <w:p w14:paraId="2AB433BE" w14:textId="77777777" w:rsidR="002608FC" w:rsidRDefault="002608FC" w:rsidP="002901BC">
            <w:pPr>
              <w:pStyle w:val="Listenabsatz"/>
              <w:spacing w:after="0"/>
              <w:ind w:left="567" w:hanging="567"/>
              <w:jc w:val="center"/>
              <w:rPr>
                <w:rFonts w:ascii="Arial" w:hAnsi="Arial" w:cs="Arial"/>
                <w:b/>
                <w:sz w:val="22"/>
                <w:szCs w:val="22"/>
                <w:lang w:val="en-US"/>
              </w:rPr>
            </w:pPr>
          </w:p>
          <w:p w14:paraId="5E31CFAC" w14:textId="77777777" w:rsidR="002901BC" w:rsidRDefault="002901BC" w:rsidP="002901BC">
            <w:pPr>
              <w:pStyle w:val="Listenabsatz"/>
              <w:spacing w:after="0"/>
              <w:ind w:left="567" w:hanging="567"/>
              <w:jc w:val="center"/>
              <w:rPr>
                <w:rFonts w:ascii="Arial" w:hAnsi="Arial" w:cs="Arial"/>
                <w:b/>
                <w:sz w:val="22"/>
                <w:szCs w:val="22"/>
                <w:lang w:val="en-US"/>
              </w:rPr>
            </w:pPr>
          </w:p>
          <w:p w14:paraId="37F8D68C" w14:textId="77777777" w:rsidR="002901BC" w:rsidRDefault="002901BC" w:rsidP="002901BC">
            <w:pPr>
              <w:pStyle w:val="Listenabsatz"/>
              <w:spacing w:after="0"/>
              <w:ind w:left="567" w:hanging="567"/>
              <w:jc w:val="center"/>
              <w:rPr>
                <w:rFonts w:ascii="Arial" w:hAnsi="Arial" w:cs="Arial"/>
                <w:b/>
                <w:sz w:val="22"/>
                <w:szCs w:val="22"/>
                <w:lang w:val="en-US"/>
              </w:rPr>
            </w:pPr>
          </w:p>
          <w:p w14:paraId="604B8343" w14:textId="77777777" w:rsidR="002901BC" w:rsidRDefault="002901BC" w:rsidP="002901BC">
            <w:pPr>
              <w:pStyle w:val="Listenabsatz"/>
              <w:spacing w:after="0"/>
              <w:ind w:left="567" w:hanging="567"/>
              <w:jc w:val="center"/>
              <w:rPr>
                <w:rFonts w:ascii="Arial" w:hAnsi="Arial" w:cs="Arial"/>
                <w:b/>
                <w:sz w:val="22"/>
                <w:szCs w:val="22"/>
                <w:lang w:val="en-US"/>
              </w:rPr>
            </w:pPr>
          </w:p>
          <w:p w14:paraId="4BF78957" w14:textId="77777777" w:rsidR="002901BC" w:rsidRPr="002901BC" w:rsidRDefault="002901BC" w:rsidP="002901BC">
            <w:pPr>
              <w:pStyle w:val="Listenabsatz"/>
              <w:spacing w:after="0"/>
              <w:ind w:left="567" w:hanging="567"/>
              <w:jc w:val="center"/>
              <w:rPr>
                <w:rFonts w:ascii="Arial" w:hAnsi="Arial" w:cs="Arial"/>
                <w:b/>
                <w:sz w:val="22"/>
                <w:szCs w:val="22"/>
                <w:lang w:val="en-US"/>
              </w:rPr>
            </w:pPr>
          </w:p>
          <w:p w14:paraId="725CACF0" w14:textId="77777777" w:rsidR="0079655D" w:rsidRDefault="0079655D"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lastRenderedPageBreak/>
              <w:t xml:space="preserve">Article 5 </w:t>
            </w:r>
            <w:r>
              <w:rPr>
                <w:rFonts w:ascii="Arial" w:hAnsi="Arial" w:cs="Arial"/>
                <w:b/>
                <w:sz w:val="22"/>
                <w:szCs w:val="22"/>
              </w:rPr>
              <w:t>–</w:t>
            </w:r>
          </w:p>
          <w:p w14:paraId="68636753" w14:textId="77777777" w:rsidR="0079655D" w:rsidRPr="00F700C8" w:rsidRDefault="0079655D"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14:paraId="487FC9F9" w14:textId="77777777" w:rsidR="0079655D" w:rsidRPr="008C7BA6" w:rsidRDefault="0079655D" w:rsidP="00B3320D">
            <w:pPr>
              <w:spacing w:line="260" w:lineRule="atLeast"/>
              <w:rPr>
                <w:rFonts w:cs="Arial"/>
                <w:sz w:val="22"/>
                <w:szCs w:val="22"/>
                <w:lang w:eastAsia="de-DE"/>
              </w:rPr>
            </w:pPr>
          </w:p>
        </w:tc>
      </w:tr>
      <w:tr w:rsidR="0079655D" w:rsidRPr="00D467A4" w14:paraId="76FE39F4" w14:textId="77777777" w:rsidTr="002901BC">
        <w:trPr>
          <w:trHeight w:val="20"/>
        </w:trPr>
        <w:tc>
          <w:tcPr>
            <w:tcW w:w="9639" w:type="dxa"/>
          </w:tcPr>
          <w:p w14:paraId="273EFFB1" w14:textId="77777777" w:rsidR="0079655D" w:rsidRPr="00D00685"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lastRenderedPageBreak/>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14:paraId="36E3ED56" w14:textId="77777777" w:rsidR="0079655D" w:rsidRPr="00D00685" w:rsidRDefault="0079655D" w:rsidP="00B3320D">
            <w:pPr>
              <w:pStyle w:val="Paragraph"/>
              <w:spacing w:before="0" w:after="0"/>
              <w:ind w:left="0" w:firstLine="0"/>
              <w:jc w:val="both"/>
              <w:rPr>
                <w:rFonts w:ascii="Arial" w:hAnsi="Arial" w:cs="Arial"/>
                <w:b w:val="0"/>
                <w:sz w:val="20"/>
                <w:szCs w:val="20"/>
                <w:lang w:val="en-US"/>
              </w:rPr>
            </w:pPr>
          </w:p>
          <w:p w14:paraId="6114D362" w14:textId="77777777" w:rsidR="0079655D" w:rsidRPr="0017653D" w:rsidRDefault="0079655D" w:rsidP="00B3320D">
            <w:pPr>
              <w:spacing w:line="260" w:lineRule="atLeast"/>
              <w:rPr>
                <w:rFonts w:cs="Arial"/>
                <w:lang w:val="en-US" w:eastAsia="de-DE"/>
              </w:rPr>
            </w:pPr>
          </w:p>
        </w:tc>
      </w:tr>
      <w:tr w:rsidR="0079655D" w:rsidRPr="002901BC" w14:paraId="220893B5" w14:textId="77777777" w:rsidTr="002901BC">
        <w:trPr>
          <w:trHeight w:val="20"/>
        </w:trPr>
        <w:tc>
          <w:tcPr>
            <w:tcW w:w="9639" w:type="dxa"/>
          </w:tcPr>
          <w:p w14:paraId="1202404D" w14:textId="77777777" w:rsidR="0079655D" w:rsidRPr="002901BC" w:rsidRDefault="0079655D" w:rsidP="00640E03">
            <w:pPr>
              <w:pStyle w:val="Paragraph"/>
              <w:spacing w:before="0" w:after="0"/>
              <w:ind w:left="0" w:firstLine="0"/>
              <w:jc w:val="both"/>
              <w:rPr>
                <w:rFonts w:ascii="Arial" w:hAnsi="Arial" w:cs="Arial"/>
                <w:b w:val="0"/>
                <w:szCs w:val="22"/>
                <w:lang w:val="en-US"/>
              </w:rPr>
            </w:pPr>
          </w:p>
          <w:p w14:paraId="7B698AC8"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6</w:t>
            </w:r>
            <w:r w:rsidRPr="008C7BA6">
              <w:rPr>
                <w:rFonts w:ascii="Arial" w:hAnsi="Arial" w:cs="Arial"/>
                <w:szCs w:val="22"/>
                <w:lang w:val="en-US"/>
              </w:rPr>
              <w:t xml:space="preserve"> - Understanding of the parties </w:t>
            </w:r>
          </w:p>
          <w:p w14:paraId="1AFE1F6F" w14:textId="77777777" w:rsidR="0079655D" w:rsidRPr="002901BC" w:rsidRDefault="0079655D" w:rsidP="00B3320D">
            <w:pPr>
              <w:spacing w:line="260" w:lineRule="atLeast"/>
              <w:rPr>
                <w:rFonts w:cs="Arial"/>
                <w:sz w:val="22"/>
                <w:szCs w:val="22"/>
                <w:lang w:val="en-US" w:eastAsia="de-DE"/>
              </w:rPr>
            </w:pPr>
          </w:p>
        </w:tc>
      </w:tr>
      <w:tr w:rsidR="0079655D" w:rsidRPr="00D467A4" w14:paraId="5CB43127" w14:textId="77777777" w:rsidTr="002901BC">
        <w:trPr>
          <w:trHeight w:val="20"/>
        </w:trPr>
        <w:tc>
          <w:tcPr>
            <w:tcW w:w="9639" w:type="dxa"/>
          </w:tcPr>
          <w:p w14:paraId="3E174AF0" w14:textId="77777777" w:rsidR="0079655D" w:rsidRPr="00D00685"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14:paraId="1EA2BE45" w14:textId="77777777" w:rsidR="0079655D" w:rsidRDefault="0079655D" w:rsidP="00B3320D">
            <w:pPr>
              <w:pStyle w:val="Paragraph"/>
              <w:spacing w:before="0" w:after="0"/>
              <w:ind w:left="0" w:firstLine="0"/>
              <w:jc w:val="both"/>
              <w:rPr>
                <w:rFonts w:ascii="Arial" w:hAnsi="Arial" w:cs="Arial"/>
                <w:b w:val="0"/>
                <w:sz w:val="20"/>
                <w:szCs w:val="20"/>
                <w:lang w:val="en-US"/>
              </w:rPr>
            </w:pPr>
          </w:p>
          <w:p w14:paraId="543A53F8" w14:textId="77777777" w:rsidR="0079655D" w:rsidRPr="0017653D" w:rsidRDefault="0079655D" w:rsidP="00B3320D">
            <w:pPr>
              <w:spacing w:line="260" w:lineRule="atLeast"/>
              <w:rPr>
                <w:rFonts w:cs="Arial"/>
                <w:lang w:val="en-US" w:eastAsia="de-DE"/>
              </w:rPr>
            </w:pPr>
          </w:p>
        </w:tc>
      </w:tr>
      <w:tr w:rsidR="0079655D" w:rsidRPr="008C7BA6" w14:paraId="30375872" w14:textId="77777777" w:rsidTr="002901BC">
        <w:trPr>
          <w:trHeight w:val="20"/>
        </w:trPr>
        <w:tc>
          <w:tcPr>
            <w:tcW w:w="9639" w:type="dxa"/>
          </w:tcPr>
          <w:p w14:paraId="07CE79C4" w14:textId="77777777" w:rsidR="0079655D" w:rsidRPr="008C7BA6" w:rsidRDefault="0079655D" w:rsidP="00640E03">
            <w:pPr>
              <w:pStyle w:val="Paragraph"/>
              <w:spacing w:before="0" w:after="0"/>
              <w:ind w:left="0" w:firstLine="0"/>
              <w:jc w:val="both"/>
              <w:rPr>
                <w:rFonts w:ascii="Arial" w:hAnsi="Arial" w:cs="Arial"/>
                <w:b w:val="0"/>
                <w:szCs w:val="22"/>
                <w:lang w:val="en-US"/>
              </w:rPr>
            </w:pPr>
          </w:p>
          <w:p w14:paraId="17220A74"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7</w:t>
            </w:r>
            <w:r w:rsidRPr="008C7BA6">
              <w:rPr>
                <w:rFonts w:ascii="Arial" w:hAnsi="Arial" w:cs="Arial"/>
                <w:szCs w:val="22"/>
                <w:lang w:val="en-US"/>
              </w:rPr>
              <w:t xml:space="preserve"> - Exclusion of warranty</w:t>
            </w:r>
          </w:p>
          <w:p w14:paraId="0FF7CB1A" w14:textId="77777777" w:rsidR="0079655D" w:rsidRPr="008C7BA6" w:rsidRDefault="0079655D" w:rsidP="00B3320D">
            <w:pPr>
              <w:spacing w:line="260" w:lineRule="atLeast"/>
              <w:rPr>
                <w:rFonts w:cs="Arial"/>
                <w:sz w:val="22"/>
                <w:szCs w:val="22"/>
                <w:lang w:eastAsia="de-DE"/>
              </w:rPr>
            </w:pPr>
          </w:p>
        </w:tc>
      </w:tr>
      <w:tr w:rsidR="0079655D" w:rsidRPr="00D467A4" w14:paraId="228C84A2" w14:textId="77777777" w:rsidTr="002901BC">
        <w:trPr>
          <w:trHeight w:val="20"/>
        </w:trPr>
        <w:tc>
          <w:tcPr>
            <w:tcW w:w="9639" w:type="dxa"/>
          </w:tcPr>
          <w:p w14:paraId="5648E980" w14:textId="77777777" w:rsidR="0079655D" w:rsidRPr="00D00685" w:rsidRDefault="0079655D"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14:paraId="4632B668" w14:textId="77777777" w:rsidR="0079655D" w:rsidRPr="0017653D" w:rsidRDefault="0079655D" w:rsidP="00B3320D">
            <w:pPr>
              <w:spacing w:line="260" w:lineRule="atLeast"/>
              <w:rPr>
                <w:rFonts w:cs="Arial"/>
                <w:lang w:val="en-US" w:eastAsia="de-DE"/>
              </w:rPr>
            </w:pPr>
          </w:p>
        </w:tc>
      </w:tr>
      <w:tr w:rsidR="0079655D" w:rsidRPr="008C7BA6" w14:paraId="5481DA1C" w14:textId="77777777" w:rsidTr="002901BC">
        <w:trPr>
          <w:trHeight w:val="20"/>
        </w:trPr>
        <w:tc>
          <w:tcPr>
            <w:tcW w:w="9639" w:type="dxa"/>
          </w:tcPr>
          <w:p w14:paraId="4E5D7ED5" w14:textId="77777777" w:rsidR="002901BC" w:rsidRDefault="002901BC" w:rsidP="00B3320D">
            <w:pPr>
              <w:pStyle w:val="Paragraph"/>
              <w:spacing w:before="0" w:after="0"/>
              <w:ind w:left="0" w:firstLine="0"/>
              <w:rPr>
                <w:rFonts w:ascii="Arial" w:hAnsi="Arial" w:cs="Arial"/>
                <w:szCs w:val="22"/>
                <w:lang w:val="en-US"/>
              </w:rPr>
            </w:pPr>
          </w:p>
          <w:p w14:paraId="73D79F5F" w14:textId="77777777" w:rsidR="002901BC" w:rsidRDefault="002901BC" w:rsidP="00B3320D">
            <w:pPr>
              <w:pStyle w:val="Paragraph"/>
              <w:spacing w:before="0" w:after="0"/>
              <w:ind w:left="0" w:firstLine="0"/>
              <w:rPr>
                <w:rFonts w:ascii="Arial" w:hAnsi="Arial" w:cs="Arial"/>
                <w:szCs w:val="22"/>
                <w:lang w:val="en-US"/>
              </w:rPr>
            </w:pPr>
          </w:p>
          <w:p w14:paraId="3209F23A"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8</w:t>
            </w:r>
            <w:r w:rsidRPr="008C7BA6">
              <w:rPr>
                <w:rFonts w:ascii="Arial" w:hAnsi="Arial" w:cs="Arial"/>
                <w:szCs w:val="22"/>
                <w:lang w:val="en-US"/>
              </w:rPr>
              <w:t xml:space="preserve"> - Term</w:t>
            </w:r>
          </w:p>
          <w:p w14:paraId="429E7882" w14:textId="77777777" w:rsidR="0079655D" w:rsidRPr="008C7BA6" w:rsidRDefault="0079655D" w:rsidP="00B3320D">
            <w:pPr>
              <w:spacing w:line="260" w:lineRule="atLeast"/>
              <w:rPr>
                <w:rFonts w:cs="Arial"/>
                <w:sz w:val="22"/>
                <w:szCs w:val="22"/>
                <w:lang w:eastAsia="de-DE"/>
              </w:rPr>
            </w:pPr>
          </w:p>
        </w:tc>
      </w:tr>
      <w:tr w:rsidR="0079655D" w:rsidRPr="00D467A4" w14:paraId="1A73D839" w14:textId="77777777" w:rsidTr="002901BC">
        <w:trPr>
          <w:trHeight w:val="20"/>
        </w:trPr>
        <w:tc>
          <w:tcPr>
            <w:tcW w:w="9639" w:type="dxa"/>
          </w:tcPr>
          <w:p w14:paraId="14993792" w14:textId="77777777" w:rsidR="0079655D"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14:paraId="54F595E2" w14:textId="77777777" w:rsidR="002901BC" w:rsidRPr="00D00685" w:rsidRDefault="002901BC" w:rsidP="00640E03">
            <w:pPr>
              <w:pStyle w:val="Paragraph"/>
              <w:spacing w:before="0" w:after="0"/>
              <w:ind w:left="0" w:firstLine="0"/>
              <w:jc w:val="left"/>
              <w:rPr>
                <w:rFonts w:ascii="Arial" w:hAnsi="Arial" w:cs="Arial"/>
                <w:b w:val="0"/>
                <w:sz w:val="20"/>
                <w:szCs w:val="20"/>
                <w:lang w:val="en-US"/>
              </w:rPr>
            </w:pPr>
          </w:p>
          <w:p w14:paraId="6C83E1A1" w14:textId="77777777" w:rsidR="0079655D" w:rsidRPr="0017653D" w:rsidRDefault="0079655D" w:rsidP="00B3320D">
            <w:pPr>
              <w:spacing w:line="260" w:lineRule="atLeast"/>
              <w:rPr>
                <w:rFonts w:cs="Arial"/>
                <w:lang w:val="en-US" w:eastAsia="de-DE"/>
              </w:rPr>
            </w:pPr>
          </w:p>
        </w:tc>
      </w:tr>
      <w:tr w:rsidR="0079655D" w:rsidRPr="00D467A4" w14:paraId="2079B9AC" w14:textId="77777777" w:rsidTr="002901BC">
        <w:trPr>
          <w:trHeight w:val="20"/>
        </w:trPr>
        <w:tc>
          <w:tcPr>
            <w:tcW w:w="9639" w:type="dxa"/>
          </w:tcPr>
          <w:p w14:paraId="693ACA90" w14:textId="77777777" w:rsidR="0079655D" w:rsidRPr="002901BC" w:rsidRDefault="0079655D" w:rsidP="00640E03">
            <w:pPr>
              <w:pStyle w:val="Paragraph"/>
              <w:spacing w:before="0" w:after="0"/>
              <w:ind w:left="0" w:firstLine="0"/>
              <w:jc w:val="both"/>
              <w:rPr>
                <w:rFonts w:ascii="Arial" w:hAnsi="Arial" w:cs="Arial"/>
                <w:b w:val="0"/>
                <w:szCs w:val="22"/>
                <w:lang w:val="en-US"/>
              </w:rPr>
            </w:pPr>
          </w:p>
          <w:p w14:paraId="0F79D793" w14:textId="77777777" w:rsidR="0079655D" w:rsidRPr="00F63AE6" w:rsidRDefault="0079655D"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sidR="002608FC">
              <w:rPr>
                <w:rFonts w:ascii="Arial" w:hAnsi="Arial" w:cs="Arial"/>
                <w:szCs w:val="22"/>
                <w:lang w:val="en-US"/>
              </w:rPr>
              <w:t>9</w:t>
            </w:r>
            <w:r w:rsidRPr="00F63AE6">
              <w:rPr>
                <w:rFonts w:ascii="Arial" w:hAnsi="Arial" w:cs="Arial"/>
                <w:szCs w:val="22"/>
                <w:lang w:val="en-US"/>
              </w:rPr>
              <w:t xml:space="preserve"> - Place of jurisdiction and applicable law</w:t>
            </w:r>
          </w:p>
          <w:p w14:paraId="504FCD09" w14:textId="77777777" w:rsidR="0079655D" w:rsidRPr="00F63AE6" w:rsidRDefault="0079655D" w:rsidP="00B3320D">
            <w:pPr>
              <w:spacing w:line="260" w:lineRule="atLeast"/>
              <w:rPr>
                <w:rFonts w:cs="Arial"/>
                <w:sz w:val="22"/>
                <w:szCs w:val="22"/>
                <w:lang w:val="en-US" w:eastAsia="de-DE"/>
              </w:rPr>
            </w:pPr>
          </w:p>
        </w:tc>
      </w:tr>
      <w:tr w:rsidR="0079655D" w:rsidRPr="00D467A4" w14:paraId="161A3912" w14:textId="77777777" w:rsidTr="002901BC">
        <w:trPr>
          <w:trHeight w:val="20"/>
        </w:trPr>
        <w:tc>
          <w:tcPr>
            <w:tcW w:w="9639" w:type="dxa"/>
          </w:tcPr>
          <w:p w14:paraId="78D4C86F" w14:textId="77777777" w:rsidR="0079655D" w:rsidRPr="00014C8B" w:rsidRDefault="0079655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exclusive place of jurisdiction for any disputes arising from and / or in connection with this non-disclosure agreement shall be the registered office of TenneT.</w:t>
            </w:r>
          </w:p>
        </w:tc>
      </w:tr>
      <w:tr w:rsidR="0079655D" w:rsidRPr="00D467A4" w14:paraId="6C46FCC5" w14:textId="77777777" w:rsidTr="002901BC">
        <w:trPr>
          <w:trHeight w:val="20"/>
        </w:trPr>
        <w:tc>
          <w:tcPr>
            <w:tcW w:w="9639" w:type="dxa"/>
          </w:tcPr>
          <w:p w14:paraId="070C2D00" w14:textId="77777777" w:rsidR="0079655D" w:rsidRPr="00014C8B" w:rsidRDefault="0079655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14:paraId="79271B15" w14:textId="77777777" w:rsidR="0079655D" w:rsidRPr="00014C8B" w:rsidRDefault="0079655D" w:rsidP="00B3320D">
            <w:pPr>
              <w:spacing w:line="260" w:lineRule="atLeast"/>
              <w:rPr>
                <w:rFonts w:cs="Arial"/>
                <w:lang w:val="en-US" w:eastAsia="de-DE"/>
              </w:rPr>
            </w:pPr>
          </w:p>
        </w:tc>
      </w:tr>
      <w:tr w:rsidR="0079655D" w:rsidRPr="008C7BA6" w14:paraId="272A4FBE" w14:textId="77777777" w:rsidTr="002901BC">
        <w:trPr>
          <w:trHeight w:val="20"/>
        </w:trPr>
        <w:tc>
          <w:tcPr>
            <w:tcW w:w="9639" w:type="dxa"/>
          </w:tcPr>
          <w:p w14:paraId="7A5C136A" w14:textId="77777777" w:rsidR="0079655D" w:rsidRDefault="0079655D" w:rsidP="00640E03">
            <w:pPr>
              <w:pStyle w:val="Paragraph"/>
              <w:spacing w:before="0" w:after="0"/>
              <w:rPr>
                <w:rFonts w:ascii="Arial" w:hAnsi="Arial" w:cs="Arial"/>
                <w:szCs w:val="22"/>
                <w:lang w:val="en-US"/>
              </w:rPr>
            </w:pPr>
          </w:p>
          <w:p w14:paraId="3961C178" w14:textId="77777777" w:rsidR="002901BC" w:rsidRPr="008C7BA6" w:rsidRDefault="002901BC" w:rsidP="00640E03">
            <w:pPr>
              <w:pStyle w:val="Paragraph"/>
              <w:spacing w:before="0" w:after="0"/>
              <w:rPr>
                <w:rFonts w:ascii="Arial" w:hAnsi="Arial" w:cs="Arial"/>
                <w:szCs w:val="22"/>
                <w:lang w:val="en-US"/>
              </w:rPr>
            </w:pPr>
          </w:p>
          <w:p w14:paraId="7647EB16" w14:textId="77777777" w:rsidR="0079655D" w:rsidRPr="008C7BA6" w:rsidRDefault="0079655D"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10</w:t>
            </w:r>
            <w:r w:rsidRPr="008C7BA6">
              <w:rPr>
                <w:rFonts w:ascii="Arial" w:hAnsi="Arial" w:cs="Arial"/>
                <w:szCs w:val="22"/>
                <w:lang w:val="en-US"/>
              </w:rPr>
              <w:t xml:space="preserve"> - Written form</w:t>
            </w:r>
          </w:p>
          <w:p w14:paraId="4012AAAC" w14:textId="77777777" w:rsidR="0079655D" w:rsidRPr="008C7BA6" w:rsidRDefault="0079655D" w:rsidP="00B3320D">
            <w:pPr>
              <w:spacing w:line="260" w:lineRule="atLeast"/>
              <w:rPr>
                <w:rFonts w:cs="Arial"/>
                <w:sz w:val="22"/>
                <w:szCs w:val="22"/>
                <w:lang w:eastAsia="de-DE"/>
              </w:rPr>
            </w:pPr>
          </w:p>
        </w:tc>
      </w:tr>
      <w:tr w:rsidR="0079655D" w:rsidRPr="00D467A4" w14:paraId="734D4CEF" w14:textId="77777777" w:rsidTr="002901BC">
        <w:trPr>
          <w:trHeight w:val="20"/>
        </w:trPr>
        <w:tc>
          <w:tcPr>
            <w:tcW w:w="9639" w:type="dxa"/>
          </w:tcPr>
          <w:p w14:paraId="1D41FBE6" w14:textId="77777777" w:rsidR="0079655D" w:rsidRPr="00D00685" w:rsidRDefault="0079655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14:paraId="07697229" w14:textId="77777777" w:rsidR="0079655D" w:rsidRPr="0017653D" w:rsidRDefault="0079655D" w:rsidP="00B3320D">
            <w:pPr>
              <w:spacing w:line="260" w:lineRule="atLeast"/>
              <w:rPr>
                <w:rFonts w:cs="Arial"/>
                <w:lang w:val="en-US" w:eastAsia="de-DE"/>
              </w:rPr>
            </w:pPr>
          </w:p>
        </w:tc>
      </w:tr>
      <w:tr w:rsidR="0079655D" w:rsidRPr="008C7BA6" w14:paraId="6AE6DF21" w14:textId="77777777" w:rsidTr="002901BC">
        <w:trPr>
          <w:trHeight w:val="20"/>
        </w:trPr>
        <w:tc>
          <w:tcPr>
            <w:tcW w:w="9639" w:type="dxa"/>
          </w:tcPr>
          <w:p w14:paraId="778D55F2" w14:textId="77777777" w:rsidR="0079655D" w:rsidRPr="008C7BA6" w:rsidRDefault="0079655D" w:rsidP="00640E03">
            <w:pPr>
              <w:pStyle w:val="Abstze"/>
              <w:numPr>
                <w:ilvl w:val="0"/>
                <w:numId w:val="0"/>
              </w:numPr>
              <w:spacing w:after="0"/>
              <w:ind w:left="567" w:hanging="567"/>
              <w:rPr>
                <w:rFonts w:ascii="Arial" w:hAnsi="Arial" w:cs="Arial"/>
                <w:sz w:val="22"/>
                <w:szCs w:val="22"/>
                <w:lang w:val="en-US"/>
              </w:rPr>
            </w:pPr>
          </w:p>
          <w:p w14:paraId="505BA00C" w14:textId="77777777" w:rsidR="002608FC" w:rsidRDefault="002608FC" w:rsidP="00B3320D">
            <w:pPr>
              <w:pStyle w:val="Abstze"/>
              <w:numPr>
                <w:ilvl w:val="0"/>
                <w:numId w:val="0"/>
              </w:numPr>
              <w:spacing w:after="0"/>
              <w:ind w:left="567" w:hanging="567"/>
              <w:jc w:val="center"/>
              <w:rPr>
                <w:rFonts w:ascii="Arial" w:hAnsi="Arial" w:cs="Arial"/>
                <w:b/>
                <w:sz w:val="22"/>
                <w:szCs w:val="22"/>
                <w:lang w:val="en-US"/>
              </w:rPr>
            </w:pPr>
          </w:p>
          <w:p w14:paraId="6617BF01" w14:textId="77777777" w:rsidR="002608FC" w:rsidRDefault="002608FC" w:rsidP="00B3320D">
            <w:pPr>
              <w:pStyle w:val="Abstze"/>
              <w:numPr>
                <w:ilvl w:val="0"/>
                <w:numId w:val="0"/>
              </w:numPr>
              <w:spacing w:after="0"/>
              <w:ind w:left="567" w:hanging="567"/>
              <w:jc w:val="center"/>
              <w:rPr>
                <w:rFonts w:ascii="Arial" w:hAnsi="Arial" w:cs="Arial"/>
                <w:b/>
                <w:sz w:val="22"/>
                <w:szCs w:val="22"/>
                <w:lang w:val="en-US"/>
              </w:rPr>
            </w:pPr>
          </w:p>
          <w:p w14:paraId="3807709E" w14:textId="77777777" w:rsidR="0079655D" w:rsidRPr="008C7BA6" w:rsidRDefault="0079655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lastRenderedPageBreak/>
              <w:t>Article 1</w:t>
            </w:r>
            <w:r w:rsidR="002608FC">
              <w:rPr>
                <w:rFonts w:ascii="Arial" w:hAnsi="Arial" w:cs="Arial"/>
                <w:b/>
                <w:sz w:val="22"/>
                <w:szCs w:val="22"/>
                <w:lang w:val="en-US"/>
              </w:rPr>
              <w:t>1</w:t>
            </w:r>
            <w:r w:rsidRPr="008C7BA6">
              <w:rPr>
                <w:rFonts w:ascii="Arial" w:hAnsi="Arial" w:cs="Arial"/>
                <w:b/>
                <w:sz w:val="22"/>
                <w:szCs w:val="22"/>
                <w:lang w:val="en-US"/>
              </w:rPr>
              <w:t xml:space="preserve"> - Assignment</w:t>
            </w:r>
          </w:p>
          <w:p w14:paraId="10781C6B" w14:textId="77777777" w:rsidR="0079655D" w:rsidRPr="008C7BA6" w:rsidRDefault="0079655D" w:rsidP="00B3320D">
            <w:pPr>
              <w:spacing w:line="260" w:lineRule="atLeast"/>
              <w:rPr>
                <w:rFonts w:cs="Arial"/>
                <w:sz w:val="22"/>
                <w:szCs w:val="22"/>
                <w:lang w:eastAsia="de-DE"/>
              </w:rPr>
            </w:pPr>
          </w:p>
        </w:tc>
      </w:tr>
      <w:tr w:rsidR="0079655D" w:rsidRPr="00D467A4" w14:paraId="69E8A444" w14:textId="77777777" w:rsidTr="002901BC">
        <w:trPr>
          <w:trHeight w:val="20"/>
        </w:trPr>
        <w:tc>
          <w:tcPr>
            <w:tcW w:w="9639" w:type="dxa"/>
          </w:tcPr>
          <w:p w14:paraId="360ADFE9" w14:textId="77777777" w:rsidR="0079655D" w:rsidRPr="00D00685" w:rsidRDefault="0079655D"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lastRenderedPageBreak/>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14:paraId="5A3CCF46" w14:textId="77777777" w:rsidR="0079655D" w:rsidRPr="0017653D" w:rsidRDefault="0079655D" w:rsidP="00B3320D">
            <w:pPr>
              <w:spacing w:line="260" w:lineRule="atLeast"/>
              <w:rPr>
                <w:rFonts w:cs="Arial"/>
                <w:lang w:val="en-US" w:eastAsia="de-DE"/>
              </w:rPr>
            </w:pPr>
          </w:p>
        </w:tc>
      </w:tr>
    </w:tbl>
    <w:p w14:paraId="1CF2BDDD" w14:textId="77777777" w:rsidR="00115008" w:rsidRPr="00274499" w:rsidRDefault="00115008">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8C7BA6" w14:paraId="51B1536B" w14:textId="77777777" w:rsidTr="002901BC">
        <w:trPr>
          <w:trHeight w:val="20"/>
        </w:trPr>
        <w:tc>
          <w:tcPr>
            <w:tcW w:w="9639" w:type="dxa"/>
          </w:tcPr>
          <w:p w14:paraId="276A961D" w14:textId="77777777" w:rsidR="0079655D" w:rsidRPr="008C7BA6" w:rsidRDefault="0079655D" w:rsidP="00640E03">
            <w:pPr>
              <w:pStyle w:val="Abstze"/>
              <w:numPr>
                <w:ilvl w:val="0"/>
                <w:numId w:val="0"/>
              </w:numPr>
              <w:spacing w:after="0"/>
              <w:ind w:left="567" w:hanging="567"/>
              <w:jc w:val="center"/>
              <w:rPr>
                <w:rFonts w:ascii="Arial" w:hAnsi="Arial" w:cs="Arial"/>
                <w:b/>
                <w:sz w:val="22"/>
                <w:szCs w:val="22"/>
                <w:lang w:val="en-US"/>
              </w:rPr>
            </w:pPr>
          </w:p>
          <w:p w14:paraId="3F0D8D4F" w14:textId="77777777" w:rsidR="0079655D" w:rsidRPr="008C7BA6" w:rsidRDefault="0079655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2</w:t>
            </w:r>
            <w:r w:rsidRPr="008C7BA6">
              <w:rPr>
                <w:rFonts w:ascii="Arial" w:hAnsi="Arial" w:cs="Arial"/>
                <w:b/>
                <w:sz w:val="22"/>
                <w:szCs w:val="22"/>
                <w:lang w:val="en-US"/>
              </w:rPr>
              <w:t xml:space="preserve"> - Miscellaneous</w:t>
            </w:r>
          </w:p>
          <w:p w14:paraId="05F2E113" w14:textId="77777777" w:rsidR="0079655D" w:rsidRPr="008C7BA6" w:rsidRDefault="0079655D" w:rsidP="00B3320D">
            <w:pPr>
              <w:spacing w:line="260" w:lineRule="atLeast"/>
              <w:rPr>
                <w:rFonts w:cs="Arial"/>
                <w:sz w:val="22"/>
                <w:szCs w:val="22"/>
                <w:lang w:eastAsia="de-DE"/>
              </w:rPr>
            </w:pPr>
          </w:p>
        </w:tc>
      </w:tr>
      <w:tr w:rsidR="0079655D" w:rsidRPr="00D467A4" w14:paraId="30DC6DAB" w14:textId="77777777" w:rsidTr="002901BC">
        <w:trPr>
          <w:trHeight w:val="20"/>
        </w:trPr>
        <w:tc>
          <w:tcPr>
            <w:tcW w:w="9639" w:type="dxa"/>
          </w:tcPr>
          <w:p w14:paraId="1ADA0E95" w14:textId="77777777" w:rsidR="0079655D" w:rsidRPr="00D00685" w:rsidRDefault="0079655D"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Pr>
                <w:rFonts w:ascii="Arial" w:hAnsi="Arial" w:cs="Arial"/>
                <w:szCs w:val="20"/>
                <w:lang w:val="en-US"/>
              </w:rPr>
              <w:softHyphen/>
            </w:r>
            <w:r w:rsidRPr="00D00685">
              <w:rPr>
                <w:rFonts w:ascii="Arial" w:hAnsi="Arial" w:cs="Arial"/>
                <w:szCs w:val="20"/>
                <w:lang w:val="en-US"/>
              </w:rPr>
              <w:t>enforceable in full or in part, the effective</w:t>
            </w:r>
            <w:r>
              <w:rPr>
                <w:rFonts w:ascii="Arial" w:hAnsi="Arial" w:cs="Arial"/>
                <w:szCs w:val="20"/>
                <w:lang w:val="en-US"/>
              </w:rPr>
              <w:softHyphen/>
            </w:r>
            <w:r w:rsidRPr="00D00685">
              <w:rPr>
                <w:rFonts w:ascii="Arial" w:hAnsi="Arial" w:cs="Arial"/>
                <w:szCs w:val="20"/>
                <w:lang w:val="en-US"/>
              </w:rPr>
              <w:t>ness or enforceability of the remaining pro</w:t>
            </w:r>
            <w:r>
              <w:rPr>
                <w:rFonts w:ascii="Arial" w:hAnsi="Arial" w:cs="Arial"/>
                <w:szCs w:val="20"/>
                <w:lang w:val="en-US"/>
              </w:rPr>
              <w:softHyphen/>
            </w:r>
            <w:r w:rsidRPr="00D00685">
              <w:rPr>
                <w:rFonts w:ascii="Arial" w:hAnsi="Arial" w:cs="Arial"/>
                <w:szCs w:val="20"/>
                <w:lang w:val="en-US"/>
              </w:rPr>
              <w:t>visions of this agreement shall not be af</w:t>
            </w:r>
            <w:r>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Pr>
                <w:rFonts w:ascii="Arial" w:hAnsi="Arial" w:cs="Arial"/>
                <w:szCs w:val="20"/>
                <w:lang w:val="en-US"/>
              </w:rPr>
              <w:softHyphen/>
            </w:r>
            <w:r w:rsidRPr="00D00685">
              <w:rPr>
                <w:rFonts w:ascii="Arial" w:hAnsi="Arial" w:cs="Arial"/>
                <w:szCs w:val="20"/>
                <w:lang w:val="en-US"/>
              </w:rPr>
              <w:t>tual loopholes.</w:t>
            </w:r>
          </w:p>
          <w:p w14:paraId="3A6E3462" w14:textId="77777777" w:rsidR="0079655D" w:rsidRPr="00573179" w:rsidRDefault="0079655D" w:rsidP="00B3320D">
            <w:pPr>
              <w:spacing w:line="260" w:lineRule="atLeast"/>
              <w:rPr>
                <w:rFonts w:cs="Arial"/>
                <w:lang w:val="en-US" w:eastAsia="de-DE"/>
              </w:rPr>
            </w:pPr>
          </w:p>
        </w:tc>
      </w:tr>
      <w:tr w:rsidR="0079655D" w:rsidRPr="00D467A4" w14:paraId="0A03976B" w14:textId="77777777" w:rsidTr="002901BC">
        <w:trPr>
          <w:trHeight w:val="20"/>
        </w:trPr>
        <w:tc>
          <w:tcPr>
            <w:tcW w:w="9639" w:type="dxa"/>
          </w:tcPr>
          <w:p w14:paraId="1367F956" w14:textId="77777777" w:rsidR="0079655D" w:rsidRDefault="0079655D"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Pr>
                <w:rFonts w:ascii="Arial" w:hAnsi="Arial" w:cs="Arial"/>
                <w:szCs w:val="20"/>
                <w:lang w:val="en-US"/>
              </w:rPr>
              <w:softHyphen/>
            </w:r>
            <w:r w:rsidRPr="00B02821">
              <w:rPr>
                <w:rFonts w:ascii="Arial" w:hAnsi="Arial" w:cs="Arial"/>
                <w:szCs w:val="20"/>
                <w:lang w:val="en-US"/>
              </w:rPr>
              <w:t>lating to the subject matter of this agreement.</w:t>
            </w:r>
          </w:p>
          <w:p w14:paraId="16D52545" w14:textId="77777777" w:rsidR="0079655D" w:rsidRPr="00573179" w:rsidRDefault="0079655D" w:rsidP="00B3320D">
            <w:pPr>
              <w:spacing w:line="260" w:lineRule="atLeast"/>
              <w:rPr>
                <w:rFonts w:cs="Arial"/>
                <w:lang w:val="en-US" w:eastAsia="de-DE"/>
              </w:rPr>
            </w:pPr>
          </w:p>
        </w:tc>
      </w:tr>
      <w:tr w:rsidR="0079655D" w:rsidRPr="00D467A4" w14:paraId="147A0D73" w14:textId="77777777" w:rsidTr="002901BC">
        <w:trPr>
          <w:trHeight w:val="20"/>
        </w:trPr>
        <w:tc>
          <w:tcPr>
            <w:tcW w:w="9639" w:type="dxa"/>
          </w:tcPr>
          <w:p w14:paraId="46D4A50F" w14:textId="77777777" w:rsidR="0079655D" w:rsidRPr="00D00685" w:rsidRDefault="0079655D"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Pr>
                <w:rFonts w:ascii="Arial" w:hAnsi="Arial" w:cs="Arial"/>
                <w:szCs w:val="20"/>
                <w:lang w:val="en-US"/>
              </w:rPr>
              <w:t>,</w:t>
            </w:r>
            <w:r w:rsidRPr="00D00685">
              <w:rPr>
                <w:rFonts w:ascii="Arial" w:hAnsi="Arial" w:cs="Arial"/>
                <w:szCs w:val="20"/>
                <w:lang w:val="en-US"/>
              </w:rPr>
              <w:t xml:space="preserve"> the German version shall prevail.</w:t>
            </w:r>
          </w:p>
          <w:p w14:paraId="66CD0B56" w14:textId="77777777" w:rsidR="0079655D" w:rsidRPr="00E16BB3" w:rsidRDefault="0079655D" w:rsidP="00B3320D">
            <w:pPr>
              <w:pStyle w:val="Abstze"/>
              <w:numPr>
                <w:ilvl w:val="0"/>
                <w:numId w:val="0"/>
              </w:numPr>
              <w:spacing w:after="0"/>
              <w:rPr>
                <w:rFonts w:ascii="Arial" w:hAnsi="Arial" w:cs="Arial"/>
                <w:szCs w:val="20"/>
                <w:lang w:val="en-US"/>
              </w:rPr>
            </w:pPr>
          </w:p>
          <w:p w14:paraId="6338C8BE" w14:textId="77777777" w:rsidR="0079655D" w:rsidRPr="00573179" w:rsidRDefault="0079655D" w:rsidP="00B3320D">
            <w:pPr>
              <w:spacing w:line="260" w:lineRule="atLeast"/>
              <w:rPr>
                <w:rFonts w:cs="Arial"/>
                <w:lang w:val="en-US" w:eastAsia="de-DE"/>
              </w:rPr>
            </w:pPr>
          </w:p>
        </w:tc>
      </w:tr>
      <w:tr w:rsidR="0079655D" w:rsidRPr="00D467A4" w14:paraId="47E94247" w14:textId="77777777" w:rsidTr="002901BC">
        <w:trPr>
          <w:trHeight w:val="20"/>
        </w:trPr>
        <w:tc>
          <w:tcPr>
            <w:tcW w:w="9639" w:type="dxa"/>
          </w:tcPr>
          <w:p w14:paraId="2962A1E3" w14:textId="77777777" w:rsidR="0079655D" w:rsidRPr="00573179" w:rsidRDefault="0079655D" w:rsidP="00B3320D">
            <w:pPr>
              <w:spacing w:line="260" w:lineRule="atLeast"/>
              <w:rPr>
                <w:rFonts w:cs="Arial"/>
                <w:lang w:val="en-US" w:eastAsia="de-DE"/>
              </w:rPr>
            </w:pPr>
          </w:p>
        </w:tc>
      </w:tr>
      <w:tr w:rsidR="0079655D" w:rsidRPr="00897DD6" w14:paraId="305987B9" w14:textId="77777777" w:rsidTr="002901BC">
        <w:trPr>
          <w:trHeight w:val="20"/>
        </w:trPr>
        <w:tc>
          <w:tcPr>
            <w:tcW w:w="9639" w:type="dxa"/>
          </w:tcPr>
          <w:p w14:paraId="5AA07C34" w14:textId="77777777" w:rsidR="0079655D" w:rsidRPr="002901BC" w:rsidRDefault="0079655D" w:rsidP="00435A35">
            <w:pPr>
              <w:spacing w:line="240" w:lineRule="auto"/>
              <w:rPr>
                <w:rFonts w:cs="Arial"/>
                <w:lang w:val="en-US" w:eastAsia="de-DE"/>
              </w:rPr>
            </w:pPr>
          </w:p>
          <w:p w14:paraId="28CA5067" w14:textId="290CE42E" w:rsidR="0079655D" w:rsidRDefault="00460FCF" w:rsidP="00435A35">
            <w:pPr>
              <w:pStyle w:val="Abstze"/>
              <w:numPr>
                <w:ilvl w:val="0"/>
                <w:numId w:val="0"/>
              </w:numPr>
              <w:spacing w:after="0"/>
              <w:rPr>
                <w:rFonts w:ascii="Arial" w:hAnsi="Arial" w:cs="Arial"/>
                <w:szCs w:val="20"/>
              </w:rPr>
            </w:pPr>
            <w:r>
              <w:rPr>
                <w:rFonts w:ascii="Arial" w:hAnsi="Arial" w:cs="Arial"/>
                <w:szCs w:val="20"/>
                <w:highlight w:val="yellow"/>
              </w:rPr>
              <w:fldChar w:fldCharType="begin">
                <w:ffData>
                  <w:name w:val="Text5"/>
                  <w:enabled/>
                  <w:calcOnExit w:val="0"/>
                  <w:textInput>
                    <w:default w:val="Place, _____._____ _____"/>
                  </w:textInput>
                </w:ffData>
              </w:fldChar>
            </w:r>
            <w:bookmarkStart w:id="4" w:name="Text5"/>
            <w:r>
              <w:rPr>
                <w:rFonts w:ascii="Arial" w:hAnsi="Arial" w:cs="Arial"/>
                <w:szCs w:val="20"/>
                <w:highlight w:val="yellow"/>
              </w:rPr>
              <w:instrText xml:space="preserve"> FORMTEXT </w:instrText>
            </w:r>
            <w:r>
              <w:rPr>
                <w:rFonts w:ascii="Arial" w:hAnsi="Arial" w:cs="Arial"/>
                <w:szCs w:val="20"/>
                <w:highlight w:val="yellow"/>
              </w:rPr>
            </w:r>
            <w:r>
              <w:rPr>
                <w:rFonts w:ascii="Arial" w:hAnsi="Arial" w:cs="Arial"/>
                <w:szCs w:val="20"/>
                <w:highlight w:val="yellow"/>
              </w:rPr>
              <w:fldChar w:fldCharType="separate"/>
            </w:r>
            <w:r>
              <w:rPr>
                <w:rFonts w:ascii="Arial" w:hAnsi="Arial" w:cs="Arial"/>
                <w:noProof/>
                <w:szCs w:val="20"/>
                <w:highlight w:val="yellow"/>
              </w:rPr>
              <w:t>Place, _____._____ _____</w:t>
            </w:r>
            <w:r>
              <w:rPr>
                <w:rFonts w:ascii="Arial" w:hAnsi="Arial" w:cs="Arial"/>
                <w:szCs w:val="20"/>
                <w:highlight w:val="yellow"/>
              </w:rPr>
              <w:fldChar w:fldCharType="end"/>
            </w:r>
            <w:bookmarkEnd w:id="4"/>
          </w:p>
          <w:p w14:paraId="747B3E21" w14:textId="77777777" w:rsidR="0079655D" w:rsidRPr="00604D33" w:rsidRDefault="0079655D" w:rsidP="00435A35">
            <w:pPr>
              <w:pStyle w:val="Abstze"/>
              <w:numPr>
                <w:ilvl w:val="0"/>
                <w:numId w:val="0"/>
              </w:numPr>
              <w:spacing w:after="0"/>
              <w:rPr>
                <w:rFonts w:ascii="Arial" w:hAnsi="Arial" w:cs="Arial"/>
                <w:szCs w:val="20"/>
              </w:rPr>
            </w:pPr>
          </w:p>
          <w:p w14:paraId="370B7977" w14:textId="77777777" w:rsidR="0079655D" w:rsidRPr="00604D33" w:rsidRDefault="0079655D"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14:paraId="79CE207C" w14:textId="2978EE43" w:rsidR="0079655D" w:rsidRPr="00A5746C" w:rsidRDefault="00460FCF" w:rsidP="00435A35">
            <w:pPr>
              <w:pStyle w:val="Abstze"/>
              <w:numPr>
                <w:ilvl w:val="0"/>
                <w:numId w:val="0"/>
              </w:numPr>
              <w:spacing w:after="0"/>
              <w:rPr>
                <w:rFonts w:ascii="Arial" w:hAnsi="Arial" w:cs="Arial"/>
                <w:szCs w:val="20"/>
                <w:lang w:val="en-US"/>
              </w:rPr>
            </w:pPr>
            <w:r>
              <w:rPr>
                <w:rFonts w:ascii="Arial" w:hAnsi="Arial" w:cs="Arial"/>
                <w:szCs w:val="20"/>
                <w:highlight w:val="yellow"/>
                <w:lang w:val="en-US"/>
              </w:rPr>
              <w:fldChar w:fldCharType="begin">
                <w:ffData>
                  <w:name w:val="Text6"/>
                  <w:enabled/>
                  <w:calcOnExit w:val="0"/>
                  <w:textInput>
                    <w:default w:val="Name of company"/>
                  </w:textInput>
                </w:ffData>
              </w:fldChar>
            </w:r>
            <w:bookmarkStart w:id="5" w:name="Text6"/>
            <w:r>
              <w:rPr>
                <w:rFonts w:ascii="Arial" w:hAnsi="Arial" w:cs="Arial"/>
                <w:szCs w:val="20"/>
                <w:highlight w:val="yellow"/>
                <w:lang w:val="en-US"/>
              </w:rPr>
              <w:instrText xml:space="preserve"> FORMTEXT </w:instrText>
            </w:r>
            <w:r>
              <w:rPr>
                <w:rFonts w:ascii="Arial" w:hAnsi="Arial" w:cs="Arial"/>
                <w:szCs w:val="20"/>
                <w:highlight w:val="yellow"/>
                <w:lang w:val="en-US"/>
              </w:rPr>
            </w:r>
            <w:r>
              <w:rPr>
                <w:rFonts w:ascii="Arial" w:hAnsi="Arial" w:cs="Arial"/>
                <w:szCs w:val="20"/>
                <w:highlight w:val="yellow"/>
                <w:lang w:val="en-US"/>
              </w:rPr>
              <w:fldChar w:fldCharType="separate"/>
            </w:r>
            <w:r>
              <w:rPr>
                <w:rFonts w:ascii="Arial" w:hAnsi="Arial" w:cs="Arial"/>
                <w:noProof/>
                <w:szCs w:val="20"/>
                <w:highlight w:val="yellow"/>
                <w:lang w:val="en-US"/>
              </w:rPr>
              <w:t>Name of company</w:t>
            </w:r>
            <w:r>
              <w:rPr>
                <w:rFonts w:ascii="Arial" w:hAnsi="Arial" w:cs="Arial"/>
                <w:szCs w:val="20"/>
                <w:highlight w:val="yellow"/>
                <w:lang w:val="en-US"/>
              </w:rPr>
              <w:fldChar w:fldCharType="end"/>
            </w:r>
            <w:bookmarkEnd w:id="5"/>
          </w:p>
          <w:p w14:paraId="73C13000" w14:textId="77777777" w:rsidR="0079655D" w:rsidRPr="00A5746C" w:rsidRDefault="0079655D" w:rsidP="00435A35">
            <w:pPr>
              <w:pStyle w:val="Abstze"/>
              <w:numPr>
                <w:ilvl w:val="0"/>
                <w:numId w:val="0"/>
              </w:numPr>
              <w:spacing w:after="0"/>
              <w:rPr>
                <w:rFonts w:ascii="Arial" w:hAnsi="Arial" w:cs="Arial"/>
                <w:szCs w:val="20"/>
                <w:lang w:val="en-US"/>
              </w:rPr>
            </w:pPr>
          </w:p>
          <w:p w14:paraId="555B730C" w14:textId="77777777" w:rsidR="0079655D" w:rsidRPr="00897DD6" w:rsidRDefault="0079655D" w:rsidP="00435A35">
            <w:pPr>
              <w:rPr>
                <w:rFonts w:cs="Arial"/>
                <w:lang w:eastAsia="de-DE"/>
              </w:rPr>
            </w:pPr>
          </w:p>
        </w:tc>
      </w:tr>
      <w:tr w:rsidR="0079655D" w:rsidRPr="00897DD6" w14:paraId="03B06FFF" w14:textId="77777777" w:rsidTr="002901BC">
        <w:trPr>
          <w:trHeight w:val="20"/>
        </w:trPr>
        <w:tc>
          <w:tcPr>
            <w:tcW w:w="9639" w:type="dxa"/>
          </w:tcPr>
          <w:p w14:paraId="75B8A16A" w14:textId="77777777" w:rsidR="0079655D" w:rsidRDefault="0079655D"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14:paraId="19CC1D74" w14:textId="506D8F79" w:rsidR="0079655D" w:rsidRDefault="00460FCF" w:rsidP="00435A35">
            <w:pPr>
              <w:pStyle w:val="Abstze"/>
              <w:numPr>
                <w:ilvl w:val="0"/>
                <w:numId w:val="0"/>
              </w:numPr>
              <w:spacing w:after="0"/>
              <w:jc w:val="left"/>
              <w:rPr>
                <w:rFonts w:ascii="Arial" w:hAnsi="Arial" w:cs="Arial"/>
                <w:szCs w:val="20"/>
                <w:lang w:val="en-US"/>
              </w:rPr>
            </w:pPr>
            <w:r>
              <w:rPr>
                <w:rFonts w:ascii="Arial" w:hAnsi="Arial" w:cs="Arial"/>
                <w:szCs w:val="20"/>
                <w:highlight w:val="yellow"/>
                <w:lang w:val="en-US"/>
              </w:rPr>
              <w:fldChar w:fldCharType="begin">
                <w:ffData>
                  <w:name w:val="Text7"/>
                  <w:enabled/>
                  <w:calcOnExit w:val="0"/>
                  <w:textInput>
                    <w:default w:val="Signature"/>
                  </w:textInput>
                </w:ffData>
              </w:fldChar>
            </w:r>
            <w:bookmarkStart w:id="6" w:name="Text7"/>
            <w:r>
              <w:rPr>
                <w:rFonts w:ascii="Arial" w:hAnsi="Arial" w:cs="Arial"/>
                <w:szCs w:val="20"/>
                <w:highlight w:val="yellow"/>
                <w:lang w:val="en-US"/>
              </w:rPr>
              <w:instrText xml:space="preserve"> FORMTEXT </w:instrText>
            </w:r>
            <w:r>
              <w:rPr>
                <w:rFonts w:ascii="Arial" w:hAnsi="Arial" w:cs="Arial"/>
                <w:szCs w:val="20"/>
                <w:highlight w:val="yellow"/>
                <w:lang w:val="en-US"/>
              </w:rPr>
            </w:r>
            <w:r>
              <w:rPr>
                <w:rFonts w:ascii="Arial" w:hAnsi="Arial" w:cs="Arial"/>
                <w:szCs w:val="20"/>
                <w:highlight w:val="yellow"/>
                <w:lang w:val="en-US"/>
              </w:rPr>
              <w:fldChar w:fldCharType="separate"/>
            </w:r>
            <w:r>
              <w:rPr>
                <w:rFonts w:ascii="Arial" w:hAnsi="Arial" w:cs="Arial"/>
                <w:noProof/>
                <w:szCs w:val="20"/>
                <w:highlight w:val="yellow"/>
                <w:lang w:val="en-US"/>
              </w:rPr>
              <w:t>Signature</w:t>
            </w:r>
            <w:r>
              <w:rPr>
                <w:rFonts w:ascii="Arial" w:hAnsi="Arial" w:cs="Arial"/>
                <w:szCs w:val="20"/>
                <w:highlight w:val="yellow"/>
                <w:lang w:val="en-US"/>
              </w:rPr>
              <w:fldChar w:fldCharType="end"/>
            </w:r>
            <w:bookmarkEnd w:id="6"/>
          </w:p>
          <w:p w14:paraId="4692AAD4" w14:textId="77777777" w:rsidR="0079655D" w:rsidRPr="00897DD6" w:rsidRDefault="0079655D" w:rsidP="00435A35">
            <w:pPr>
              <w:rPr>
                <w:rFonts w:cs="Arial"/>
                <w:lang w:eastAsia="de-DE"/>
              </w:rPr>
            </w:pPr>
          </w:p>
        </w:tc>
      </w:tr>
    </w:tbl>
    <w:p w14:paraId="66156F07" w14:textId="77777777" w:rsidR="00030FCA" w:rsidRPr="00AF0DF9" w:rsidRDefault="00030FCA" w:rsidP="002901BC">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33E9" w14:textId="77777777" w:rsidR="005B7F11" w:rsidRDefault="005B7F11">
      <w:r>
        <w:separator/>
      </w:r>
    </w:p>
  </w:endnote>
  <w:endnote w:type="continuationSeparator" w:id="0">
    <w:p w14:paraId="58DAD226" w14:textId="77777777" w:rsidR="005B7F11" w:rsidRDefault="005B7F11">
      <w:r>
        <w:continuationSeparator/>
      </w:r>
    </w:p>
  </w:endnote>
  <w:endnote w:type="continuationNotice" w:id="1">
    <w:p w14:paraId="33176D30" w14:textId="77777777" w:rsidR="005B7F11" w:rsidRDefault="005B7F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0EC"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7483918F" w14:textId="77777777" w:rsidTr="00E66589">
      <w:trPr>
        <w:trHeight w:val="260"/>
      </w:trPr>
      <w:tc>
        <w:tcPr>
          <w:tcW w:w="9617" w:type="dxa"/>
          <w:shd w:val="clear" w:color="auto" w:fill="auto"/>
        </w:tcPr>
        <w:p w14:paraId="7F18C67C" w14:textId="77777777" w:rsidR="008B3BC9" w:rsidRPr="00BF4C87" w:rsidRDefault="008B3BC9" w:rsidP="00187EE1">
          <w:pPr>
            <w:spacing w:line="210" w:lineRule="exact"/>
            <w:rPr>
              <w:rStyle w:val="Huisstijl-Adres"/>
            </w:rPr>
          </w:pPr>
          <w:bookmarkStart w:id="13" w:name="bmAdres1" w:colFirst="0" w:colLast="0"/>
        </w:p>
      </w:tc>
    </w:tr>
    <w:bookmarkEnd w:id="13"/>
  </w:tbl>
  <w:p w14:paraId="7674075E"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B6FF" w14:textId="77777777" w:rsidR="005B7F11" w:rsidRDefault="005B7F11">
      <w:r>
        <w:separator/>
      </w:r>
    </w:p>
  </w:footnote>
  <w:footnote w:type="continuationSeparator" w:id="0">
    <w:p w14:paraId="6CBC6304" w14:textId="77777777" w:rsidR="005B7F11" w:rsidRDefault="005B7F11">
      <w:r>
        <w:continuationSeparator/>
      </w:r>
    </w:p>
  </w:footnote>
  <w:footnote w:type="continuationNotice" w:id="1">
    <w:p w14:paraId="458851E2" w14:textId="77777777" w:rsidR="005B7F11" w:rsidRDefault="005B7F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1D90" w14:textId="77777777" w:rsidR="008B3BC9" w:rsidRDefault="0087105F" w:rsidP="0005438B">
    <w:r>
      <w:rPr>
        <w:noProof/>
        <w:lang w:eastAsia="de-DE"/>
      </w:rPr>
      <w:drawing>
        <wp:anchor distT="0" distB="0" distL="114300" distR="114300" simplePos="0" relativeHeight="251658752" behindDoc="0" locked="0" layoutInCell="1" allowOverlap="1" wp14:anchorId="1863CF98" wp14:editId="481FCB37">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06C3E463" wp14:editId="241D508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460DDDC" w14:textId="77777777" w:rsidTr="00786DE2">
                            <w:tc>
                              <w:tcPr>
                                <w:tcW w:w="4452" w:type="dxa"/>
                                <w:shd w:val="clear" w:color="auto" w:fill="auto"/>
                              </w:tcPr>
                              <w:p w14:paraId="149D73EF" w14:textId="77777777" w:rsidR="00507862" w:rsidRPr="00507862" w:rsidRDefault="00507862" w:rsidP="00496243">
                                <w:pPr>
                                  <w:tabs>
                                    <w:tab w:val="left" w:pos="1474"/>
                                  </w:tabs>
                                  <w:spacing w:line="210" w:lineRule="exact"/>
                                  <w:ind w:left="1474" w:hanging="1474"/>
                                  <w:rPr>
                                    <w:rStyle w:val="Huisstijl-Gegeven"/>
                                  </w:rPr>
                                </w:pPr>
                                <w:bookmarkStart w:id="7" w:name="bmGegevens2" w:colFirst="0" w:colLast="0"/>
                                <w:r w:rsidRPr="00507862">
                                  <w:rPr>
                                    <w:rStyle w:val="Huisstijl-Gegeven"/>
                                  </w:rPr>
                                  <w:tab/>
                                  <w:t xml:space="preserve">TenneT TSO </w:t>
                                </w:r>
                                <w:r w:rsidR="004E4CC7">
                                  <w:rPr>
                                    <w:rStyle w:val="Huisstijl-Gegeven"/>
                                  </w:rPr>
                                  <w:t>GmbH</w:t>
                                </w:r>
                              </w:p>
                              <w:p w14:paraId="77755B7B" w14:textId="26F6EE78"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8F119C">
                                  <w:rPr>
                                    <w:rStyle w:val="Huisstijl-Gegeven"/>
                                    <w:noProof/>
                                  </w:rPr>
                                  <w:t>13.12.2021</w:t>
                                </w:r>
                                <w:r w:rsidR="0079655D">
                                  <w:rPr>
                                    <w:rStyle w:val="Huisstijl-Gegeven"/>
                                  </w:rPr>
                                  <w:fldChar w:fldCharType="end"/>
                                </w:r>
                              </w:p>
                              <w:p w14:paraId="6C437EB5" w14:textId="5E21B8F2"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274499">
                                  <w:rPr>
                                    <w:rStyle w:val="Huisstijl-Gegeven"/>
                                    <w:noProof/>
                                    <w:szCs w:val="17"/>
                                  </w:rPr>
                                  <w:t>7</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274499">
                                  <w:rPr>
                                    <w:rStyle w:val="Huisstijl-Gegeven"/>
                                    <w:noProof/>
                                    <w:szCs w:val="17"/>
                                  </w:rPr>
                                  <w:t>7</w:t>
                                </w:r>
                                <w:r w:rsidR="00BB0999">
                                  <w:rPr>
                                    <w:rStyle w:val="Huisstijl-Gegeven"/>
                                    <w:szCs w:val="17"/>
                                  </w:rPr>
                                  <w:fldChar w:fldCharType="end"/>
                                </w:r>
                              </w:p>
                            </w:tc>
                          </w:tr>
                          <w:bookmarkEnd w:id="7"/>
                        </w:tbl>
                        <w:p w14:paraId="432C47B8"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E463"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460DDDC" w14:textId="77777777" w:rsidTr="00786DE2">
                      <w:tc>
                        <w:tcPr>
                          <w:tcW w:w="4452" w:type="dxa"/>
                          <w:shd w:val="clear" w:color="auto" w:fill="auto"/>
                        </w:tcPr>
                        <w:p w14:paraId="149D73EF" w14:textId="77777777" w:rsidR="00507862" w:rsidRPr="00507862" w:rsidRDefault="00507862" w:rsidP="00496243">
                          <w:pPr>
                            <w:tabs>
                              <w:tab w:val="left" w:pos="1474"/>
                            </w:tabs>
                            <w:spacing w:line="210" w:lineRule="exact"/>
                            <w:ind w:left="1474" w:hanging="1474"/>
                            <w:rPr>
                              <w:rStyle w:val="Huisstijl-Gegeven"/>
                            </w:rPr>
                          </w:pPr>
                          <w:bookmarkStart w:id="8" w:name="bmGegevens2" w:colFirst="0" w:colLast="0"/>
                          <w:r w:rsidRPr="00507862">
                            <w:rPr>
                              <w:rStyle w:val="Huisstijl-Gegeven"/>
                            </w:rPr>
                            <w:tab/>
                            <w:t xml:space="preserve">TenneT TSO </w:t>
                          </w:r>
                          <w:r w:rsidR="004E4CC7">
                            <w:rPr>
                              <w:rStyle w:val="Huisstijl-Gegeven"/>
                            </w:rPr>
                            <w:t>GmbH</w:t>
                          </w:r>
                        </w:p>
                        <w:p w14:paraId="77755B7B" w14:textId="26F6EE78"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8F119C">
                            <w:rPr>
                              <w:rStyle w:val="Huisstijl-Gegeven"/>
                              <w:noProof/>
                            </w:rPr>
                            <w:t>13.12.2021</w:t>
                          </w:r>
                          <w:r w:rsidR="0079655D">
                            <w:rPr>
                              <w:rStyle w:val="Huisstijl-Gegeven"/>
                            </w:rPr>
                            <w:fldChar w:fldCharType="end"/>
                          </w:r>
                        </w:p>
                        <w:p w14:paraId="6C437EB5" w14:textId="5E21B8F2"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274499">
                            <w:rPr>
                              <w:rStyle w:val="Huisstijl-Gegeven"/>
                              <w:noProof/>
                              <w:szCs w:val="17"/>
                            </w:rPr>
                            <w:t>7</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274499">
                            <w:rPr>
                              <w:rStyle w:val="Huisstijl-Gegeven"/>
                              <w:noProof/>
                              <w:szCs w:val="17"/>
                            </w:rPr>
                            <w:t>7</w:t>
                          </w:r>
                          <w:r w:rsidR="00BB0999">
                            <w:rPr>
                              <w:rStyle w:val="Huisstijl-Gegeven"/>
                              <w:szCs w:val="17"/>
                            </w:rPr>
                            <w:fldChar w:fldCharType="end"/>
                          </w:r>
                        </w:p>
                      </w:tc>
                    </w:tr>
                    <w:bookmarkEnd w:id="8"/>
                  </w:tbl>
                  <w:p w14:paraId="432C47B8"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8D4D" w14:textId="77777777" w:rsidR="00262F0C" w:rsidRDefault="00262F0C"/>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41248C44" w14:textId="77777777" w:rsidTr="00507862">
      <w:trPr>
        <w:cantSplit/>
        <w:trHeight w:val="1213"/>
      </w:trPr>
      <w:tc>
        <w:tcPr>
          <w:tcW w:w="4478" w:type="dxa"/>
        </w:tcPr>
        <w:p w14:paraId="5324AD98" w14:textId="77777777" w:rsidR="008B3BC9" w:rsidRPr="00201BE5" w:rsidRDefault="0087105F" w:rsidP="006F108B">
          <w:pPr>
            <w:pStyle w:val="Huisstijl-Sjabloonnaam"/>
            <w:ind w:left="0" w:firstLine="0"/>
            <w:rPr>
              <w:lang w:val="pt-BR"/>
            </w:rPr>
          </w:pPr>
          <w:bookmarkStart w:id="9" w:name="bmSjabloonnaam1" w:colFirst="0" w:colLast="0"/>
          <w:r>
            <w:rPr>
              <w:caps w:val="0"/>
              <w:lang w:eastAsia="de-DE"/>
            </w:rPr>
            <w:drawing>
              <wp:anchor distT="0" distB="0" distL="114300" distR="114300" simplePos="0" relativeHeight="251657728" behindDoc="0" locked="0" layoutInCell="1" allowOverlap="1" wp14:anchorId="13A81FF8" wp14:editId="33DF3267">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9"/>
  </w:tbl>
  <w:p w14:paraId="3225E3B2" w14:textId="77777777" w:rsidR="008B3BC9" w:rsidRPr="00201BE5" w:rsidRDefault="008B3BC9" w:rsidP="00262F0C">
    <w:pPr>
      <w:jc w:val="cente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4C52F349" w14:textId="77777777" w:rsidTr="008378E5">
      <w:trPr>
        <w:cantSplit/>
        <w:trHeight w:val="567"/>
      </w:trPr>
      <w:tc>
        <w:tcPr>
          <w:tcW w:w="4718" w:type="dxa"/>
          <w:shd w:val="clear" w:color="auto" w:fill="auto"/>
        </w:tcPr>
        <w:p w14:paraId="729CF914" w14:textId="77777777" w:rsidR="008B3BC9" w:rsidRPr="00507862" w:rsidRDefault="008B3BC9" w:rsidP="00C15B2A">
          <w:pPr>
            <w:tabs>
              <w:tab w:val="left" w:pos="1077"/>
            </w:tabs>
            <w:spacing w:line="210" w:lineRule="exact"/>
            <w:ind w:left="1077" w:hanging="1077"/>
            <w:rPr>
              <w:rStyle w:val="Huisstijl-Naw"/>
            </w:rPr>
          </w:pPr>
          <w:bookmarkStart w:id="10" w:name="bmGegevens1" w:colFirst="2" w:colLast="2"/>
          <w:bookmarkStart w:id="11" w:name="bmNaw1" w:colFirst="0" w:colLast="0"/>
        </w:p>
      </w:tc>
      <w:tc>
        <w:tcPr>
          <w:tcW w:w="420" w:type="dxa"/>
        </w:tcPr>
        <w:p w14:paraId="0B0C772B" w14:textId="77777777" w:rsidR="008B3BC9" w:rsidRDefault="008B3BC9" w:rsidP="00CE5761">
          <w:pPr>
            <w:spacing w:line="210" w:lineRule="exact"/>
          </w:pPr>
        </w:p>
      </w:tc>
      <w:tc>
        <w:tcPr>
          <w:tcW w:w="4478" w:type="dxa"/>
        </w:tcPr>
        <w:p w14:paraId="78446CAF" w14:textId="417D7D16"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8F119C">
            <w:rPr>
              <w:rStyle w:val="Huisstijl-Gegeven"/>
              <w:noProof/>
              <w:szCs w:val="17"/>
            </w:rPr>
            <w:t>13.12.2021</w:t>
          </w:r>
          <w:r w:rsidR="00CF7EF6">
            <w:rPr>
              <w:rStyle w:val="Huisstijl-Gegeven"/>
              <w:szCs w:val="17"/>
            </w:rPr>
            <w:fldChar w:fldCharType="end"/>
          </w:r>
        </w:p>
        <w:p w14:paraId="740A5B06"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274499">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274499" w:rsidRPr="00274499">
            <w:rPr>
              <w:rStyle w:val="Huisstijl-Gegeven"/>
              <w:noProof/>
            </w:rPr>
            <w:t>7</w:t>
          </w:r>
          <w:r w:rsidRPr="00525CBB">
            <w:rPr>
              <w:sz w:val="17"/>
              <w:szCs w:val="17"/>
            </w:rPr>
            <w:fldChar w:fldCharType="end"/>
          </w:r>
        </w:p>
      </w:tc>
    </w:tr>
    <w:bookmarkEnd w:id="10"/>
    <w:bookmarkEnd w:id="11"/>
    <w:tr w:rsidR="008378E5" w14:paraId="708DDBC0" w14:textId="77777777" w:rsidTr="002C349D">
      <w:trPr>
        <w:cantSplit/>
        <w:trHeight w:val="425"/>
      </w:trPr>
      <w:tc>
        <w:tcPr>
          <w:tcW w:w="9616" w:type="dxa"/>
          <w:gridSpan w:val="3"/>
          <w:shd w:val="clear" w:color="auto" w:fill="auto"/>
        </w:tcPr>
        <w:p w14:paraId="254C05F9" w14:textId="77777777" w:rsidR="008378E5" w:rsidRPr="00201BE5" w:rsidRDefault="008378E5" w:rsidP="00C305A8">
          <w:pPr>
            <w:tabs>
              <w:tab w:val="left" w:pos="1474"/>
            </w:tabs>
            <w:spacing w:line="210" w:lineRule="exact"/>
            <w:ind w:left="1474" w:hanging="1474"/>
            <w:rPr>
              <w:rStyle w:val="Huisstijl-Gegeven"/>
            </w:rPr>
          </w:pPr>
        </w:p>
      </w:tc>
    </w:tr>
    <w:tr w:rsidR="008B3BC9" w14:paraId="27BDD3A7" w14:textId="77777777" w:rsidTr="008378E5">
      <w:trPr>
        <w:trHeight w:val="255"/>
      </w:trPr>
      <w:tc>
        <w:tcPr>
          <w:tcW w:w="9617" w:type="dxa"/>
          <w:gridSpan w:val="3"/>
          <w:shd w:val="clear" w:color="auto" w:fill="auto"/>
        </w:tcPr>
        <w:p w14:paraId="0D343ABB" w14:textId="77777777" w:rsidR="008B3BC9" w:rsidRPr="00507862" w:rsidRDefault="008B3BC9" w:rsidP="00262F0C">
          <w:pPr>
            <w:widowControl/>
            <w:tabs>
              <w:tab w:val="center" w:pos="4808"/>
              <w:tab w:val="left" w:pos="7675"/>
            </w:tabs>
            <w:adjustRightInd/>
            <w:spacing w:line="240" w:lineRule="auto"/>
            <w:rPr>
              <w:rStyle w:val="Huisstijl-OnderwerpGegeven"/>
            </w:rPr>
          </w:pPr>
          <w:bookmarkStart w:id="12" w:name="bmOnderwerp1" w:colFirst="0" w:colLast="0"/>
        </w:p>
      </w:tc>
    </w:tr>
    <w:tr w:rsidR="009A540D" w14:paraId="5B9E4749" w14:textId="77777777" w:rsidTr="008378E5">
      <w:trPr>
        <w:trHeight w:val="255"/>
      </w:trPr>
      <w:tc>
        <w:tcPr>
          <w:tcW w:w="9617" w:type="dxa"/>
          <w:gridSpan w:val="3"/>
          <w:shd w:val="clear" w:color="auto" w:fill="auto"/>
        </w:tcPr>
        <w:p w14:paraId="386D7E97" w14:textId="77777777" w:rsidR="009A540D" w:rsidRDefault="009A540D" w:rsidP="009A540D">
          <w:pPr>
            <w:widowControl/>
            <w:tabs>
              <w:tab w:val="center" w:pos="4808"/>
              <w:tab w:val="left" w:pos="7675"/>
            </w:tabs>
            <w:adjustRightInd/>
            <w:spacing w:line="240" w:lineRule="auto"/>
            <w:jc w:val="center"/>
          </w:pPr>
        </w:p>
      </w:tc>
    </w:tr>
    <w:bookmarkEnd w:id="12"/>
  </w:tbl>
  <w:p w14:paraId="6221B2F4"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3D6B5E"/>
    <w:multiLevelType w:val="multilevel"/>
    <w:tmpl w:val="E29AD3B4"/>
    <w:numStyleLink w:val="Huisstijl-Opsomming"/>
  </w:abstractNum>
  <w:abstractNum w:abstractNumId="65"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TDrXntSLFkkZt69LpCcuRjVG7rHIZpdHRe0/PRaLnrW3N6mEJ8Eu32210vw7KSQwHNCflVihcFQ+cww4jtBg==" w:salt="ldhrtMzfVfYk/KdtzrE+WA=="/>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587C"/>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08FC"/>
    <w:rsid w:val="00262F0C"/>
    <w:rsid w:val="00266DB8"/>
    <w:rsid w:val="002674E6"/>
    <w:rsid w:val="00274499"/>
    <w:rsid w:val="00277178"/>
    <w:rsid w:val="002843DC"/>
    <w:rsid w:val="00284521"/>
    <w:rsid w:val="0028581F"/>
    <w:rsid w:val="002901BC"/>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53B6"/>
    <w:rsid w:val="00346303"/>
    <w:rsid w:val="00364E77"/>
    <w:rsid w:val="00384E5A"/>
    <w:rsid w:val="003856EF"/>
    <w:rsid w:val="00387723"/>
    <w:rsid w:val="00391E38"/>
    <w:rsid w:val="003B2F03"/>
    <w:rsid w:val="003B4B52"/>
    <w:rsid w:val="003D2BD5"/>
    <w:rsid w:val="003F702E"/>
    <w:rsid w:val="004004EC"/>
    <w:rsid w:val="004021A9"/>
    <w:rsid w:val="00403DD8"/>
    <w:rsid w:val="0040655C"/>
    <w:rsid w:val="00413629"/>
    <w:rsid w:val="0041513F"/>
    <w:rsid w:val="00417464"/>
    <w:rsid w:val="00432CC1"/>
    <w:rsid w:val="00435A35"/>
    <w:rsid w:val="00441581"/>
    <w:rsid w:val="00460FCF"/>
    <w:rsid w:val="00463307"/>
    <w:rsid w:val="0046785B"/>
    <w:rsid w:val="004744C3"/>
    <w:rsid w:val="004770CC"/>
    <w:rsid w:val="00480959"/>
    <w:rsid w:val="00496243"/>
    <w:rsid w:val="004A1A1B"/>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B7F11"/>
    <w:rsid w:val="005D05A3"/>
    <w:rsid w:val="005D3B6B"/>
    <w:rsid w:val="005D55EF"/>
    <w:rsid w:val="005E66B4"/>
    <w:rsid w:val="005F47CF"/>
    <w:rsid w:val="005F52C7"/>
    <w:rsid w:val="005F6807"/>
    <w:rsid w:val="00623253"/>
    <w:rsid w:val="00623838"/>
    <w:rsid w:val="00623FB6"/>
    <w:rsid w:val="00626A3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55D"/>
    <w:rsid w:val="0079689C"/>
    <w:rsid w:val="007B2087"/>
    <w:rsid w:val="007B3D4A"/>
    <w:rsid w:val="007D036B"/>
    <w:rsid w:val="007E0E5F"/>
    <w:rsid w:val="007E157E"/>
    <w:rsid w:val="007E7351"/>
    <w:rsid w:val="007F0B45"/>
    <w:rsid w:val="008064F8"/>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119C"/>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87DF1"/>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1723F"/>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0BCB"/>
    <w:rsid w:val="00C93FE4"/>
    <w:rsid w:val="00CC0A85"/>
    <w:rsid w:val="00CC31E2"/>
    <w:rsid w:val="00CC3A86"/>
    <w:rsid w:val="00CC6FDC"/>
    <w:rsid w:val="00CE5761"/>
    <w:rsid w:val="00CE57EC"/>
    <w:rsid w:val="00CF7EF6"/>
    <w:rsid w:val="00D0096F"/>
    <w:rsid w:val="00D13257"/>
    <w:rsid w:val="00D33582"/>
    <w:rsid w:val="00D36ED7"/>
    <w:rsid w:val="00D467A4"/>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1BF1"/>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FB27F"/>
  <w15:docId w15:val="{A4A8758B-FEBC-4347-B2BC-A5DC16DE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6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835B99D9-0EA8-4492-8D12-F86D499D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1337</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Norden, Nils</cp:lastModifiedBy>
  <cp:revision>2</cp:revision>
  <cp:lastPrinted>2014-08-21T13:14:00Z</cp:lastPrinted>
  <dcterms:created xsi:type="dcterms:W3CDTF">2021-12-13T08:45:00Z</dcterms:created>
  <dcterms:modified xsi:type="dcterms:W3CDTF">2021-12-13T08:45:00Z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