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20A" w:rsidRDefault="0026120A" w:rsidP="0026120A">
      <w:pPr>
        <w:rPr>
          <w:b/>
          <w:sz w:val="22"/>
          <w:szCs w:val="22"/>
        </w:rPr>
      </w:pPr>
      <w:r w:rsidRPr="00267C2E">
        <w:rPr>
          <w:b/>
          <w:sz w:val="22"/>
          <w:szCs w:val="22"/>
        </w:rPr>
        <w:t>Functiebeschrijving concern gegevensmakelaar Data Diensten</w:t>
      </w:r>
    </w:p>
    <w:p w:rsidR="00633D9C" w:rsidRDefault="00633D9C" w:rsidP="0026120A">
      <w:pPr>
        <w:rPr>
          <w:b/>
          <w:sz w:val="22"/>
          <w:szCs w:val="22"/>
        </w:rPr>
      </w:pPr>
    </w:p>
    <w:p w:rsidR="00633D9C" w:rsidRPr="00CB4F62" w:rsidRDefault="00633D9C" w:rsidP="00633D9C">
      <w:pPr>
        <w:rPr>
          <w:b/>
        </w:rPr>
      </w:pPr>
      <w:r w:rsidRPr="00CB4F62">
        <w:rPr>
          <w:b/>
        </w:rPr>
        <w:t>Typering Data Diensten</w:t>
      </w:r>
    </w:p>
    <w:p w:rsidR="00633D9C" w:rsidRPr="00CB4F62" w:rsidRDefault="00633D9C" w:rsidP="00633D9C">
      <w:r w:rsidRPr="00CB4F62">
        <w:t xml:space="preserve">Data Diensten is een </w:t>
      </w:r>
      <w:r>
        <w:t xml:space="preserve">centraal gepositioneerd </w:t>
      </w:r>
      <w:r w:rsidRPr="00CB4F62">
        <w:t xml:space="preserve">organisatieonderdeel in oprichting en bestaat in deze fase uit 3 medewerkers, een coördinator, een gegevensmakelaar en een </w:t>
      </w:r>
      <w:r>
        <w:t>gegevens</w:t>
      </w:r>
      <w:r w:rsidRPr="00CB4F62">
        <w:t>architect.</w:t>
      </w:r>
    </w:p>
    <w:p w:rsidR="00633D9C" w:rsidRPr="00CB4F62" w:rsidRDefault="00633D9C" w:rsidP="00633D9C">
      <w:r w:rsidRPr="00CB4F62">
        <mc:AlternateContent>
          <mc:Choice Requires="wpi">
            <w:drawing>
              <wp:anchor distT="0" distB="0" distL="114300" distR="114300" simplePos="0" relativeHeight="251659264" behindDoc="0" locked="0" layoutInCell="1" allowOverlap="1" wp14:anchorId="189F22A6" wp14:editId="2C00FEDE">
                <wp:simplePos x="0" y="0"/>
                <wp:positionH relativeFrom="column">
                  <wp:posOffset>4524665</wp:posOffset>
                </wp:positionH>
                <wp:positionV relativeFrom="paragraph">
                  <wp:posOffset>170940</wp:posOffset>
                </wp:positionV>
                <wp:extent cx="160" cy="160"/>
                <wp:effectExtent l="38100" t="38100" r="38100" b="38100"/>
                <wp:wrapNone/>
                <wp:docPr id="4" name="Inkt 4"/>
                <wp:cNvGraphicFramePr/>
                <a:graphic xmlns:a="http://schemas.openxmlformats.org/drawingml/2006/main">
                  <a:graphicData uri="http://schemas.microsoft.com/office/word/2010/wordprocessingInk">
                    <w14:contentPart bwMode="auto" r:id="rId5">
                      <w14:nvContentPartPr>
                        <w14:cNvContentPartPr/>
                      </w14:nvContentPartPr>
                      <w14:xfrm>
                        <a:off x="0" y="0"/>
                        <a:ext cx="160" cy="160"/>
                      </w14:xfrm>
                    </w14:contentPart>
                  </a:graphicData>
                </a:graphic>
              </wp:anchor>
            </w:drawing>
          </mc:Choice>
          <mc:Fallback>
            <w:pict>
              <v:shapetype w14:anchorId="04C5DCF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4" o:spid="_x0000_s1026" type="#_x0000_t75" style="position:absolute;margin-left:356.15pt;margin-top:13.35pt;width:.25pt;height:.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">
                <v:imagedata r:id="rId6" o:title=""/>
              </v:shape>
            </w:pict>
          </mc:Fallback>
        </mc:AlternateContent>
      </w:r>
      <w:r>
        <w:t>Iedere medewerker</w:t>
      </w:r>
      <w:r w:rsidRPr="00CB4F62">
        <w:t xml:space="preserve"> kan met vragen over gegevens bij Data Diensten</w:t>
      </w:r>
      <w:r>
        <w:t xml:space="preserve"> terecht</w:t>
      </w:r>
      <w:r w:rsidRPr="00CB4F62">
        <w:t>. Data Diensten weet o.a. wie de data eigenaren zijn, welke afspraken er zijn gemaakt m.b.t. het gebruik en de levering van data, welke informatieproducten hierop gebaseerd zijn en wie binnen Rotterdam veel kennis heeft over een specifieke databron.</w:t>
      </w:r>
    </w:p>
    <w:p w:rsidR="00633D9C" w:rsidRPr="00CB4F62" w:rsidRDefault="00633D9C" w:rsidP="00633D9C">
      <w:r w:rsidRPr="00CB4F62">
        <w:t xml:space="preserve">Data Diensten brengt vraag en aanbod van data samen en is daarmee een dienstverlener voor een groot aantal interne en externe afnemers. </w:t>
      </w:r>
    </w:p>
    <w:p w:rsidR="00633D9C" w:rsidRPr="00CB4F62" w:rsidRDefault="00633D9C" w:rsidP="00633D9C">
      <w:r w:rsidRPr="00CB4F62">
        <w:t>De dienstverlening van Data Diensten bestaat uit drie onderdelen:</w:t>
      </w:r>
    </w:p>
    <w:p w:rsidR="00633D9C" w:rsidRPr="00CB4F62" w:rsidRDefault="00633D9C" w:rsidP="00633D9C">
      <w:pPr>
        <w:numPr>
          <w:ilvl w:val="0"/>
          <w:numId w:val="3"/>
        </w:numPr>
      </w:pPr>
      <w:r w:rsidRPr="00CB4F62">
        <w:t>Informatie verstrekken over kenmerken, gebruik en delen van data;</w:t>
      </w:r>
    </w:p>
    <w:p w:rsidR="00633D9C" w:rsidRPr="00CB4F62" w:rsidRDefault="00633D9C" w:rsidP="00633D9C">
      <w:pPr>
        <w:numPr>
          <w:ilvl w:val="0"/>
          <w:numId w:val="3"/>
        </w:numPr>
      </w:pPr>
      <w:r w:rsidRPr="00CB4F62">
        <w:t>Faciliteren van projecten en pilots;</w:t>
      </w:r>
    </w:p>
    <w:p w:rsidR="00633D9C" w:rsidRPr="00CB4F62" w:rsidRDefault="00633D9C" w:rsidP="00633D9C">
      <w:pPr>
        <w:numPr>
          <w:ilvl w:val="0"/>
          <w:numId w:val="3"/>
        </w:numPr>
      </w:pPr>
      <w:r w:rsidRPr="00CB4F62">
        <w:t>Adviseren en begeleiden professionaliseren gegevensmanagement processen.</w:t>
      </w:r>
    </w:p>
    <w:p w:rsidR="00633D9C" w:rsidRDefault="00633D9C" w:rsidP="0026120A">
      <w:pPr>
        <w:rPr>
          <w:b/>
          <w:sz w:val="22"/>
          <w:szCs w:val="22"/>
        </w:rPr>
      </w:pPr>
    </w:p>
    <w:p w:rsidR="00633D9C" w:rsidRPr="00633D9C" w:rsidRDefault="00633D9C" w:rsidP="0026120A">
      <w:pPr>
        <w:rPr>
          <w:b/>
        </w:rPr>
      </w:pPr>
      <w:r w:rsidRPr="00633D9C">
        <w:rPr>
          <w:b/>
        </w:rPr>
        <w:t>Taken</w:t>
      </w:r>
    </w:p>
    <w:p w:rsidR="0026120A" w:rsidRPr="00267C2E" w:rsidRDefault="00FA48E8" w:rsidP="0026120A">
      <w:pPr>
        <w:numPr>
          <w:ilvl w:val="0"/>
          <w:numId w:val="1"/>
        </w:numPr>
      </w:pPr>
      <w:r w:rsidRPr="00267C2E">
        <w:t xml:space="preserve">De concern gegevensmakelaar </w:t>
      </w:r>
      <w:r w:rsidRPr="00FA48E8">
        <w:rPr>
          <w:rFonts w:cs="Arial"/>
        </w:rPr>
        <w:t>faciliteert bij cluster overstijgende dataverzoeken en heeft als primaire taak het adviseren en begeleiden van gegevensmakelaars bij de levering van data, van bronhouder tot afnemer</w:t>
      </w:r>
      <w:r>
        <w:t xml:space="preserve"> en</w:t>
      </w:r>
      <w:r w:rsidRPr="00267C2E">
        <w:t xml:space="preserve"> in overeenstemming met wet- en regelgeving. </w:t>
      </w:r>
      <w:r w:rsidR="0026120A" w:rsidRPr="00267C2E">
        <w:t>Hij werkt nauw samen met de concern gegevensarchitect.</w:t>
      </w:r>
    </w:p>
    <w:p w:rsidR="0026120A" w:rsidRPr="00267C2E" w:rsidRDefault="00FA48E8" w:rsidP="0026120A">
      <w:pPr>
        <w:numPr>
          <w:ilvl w:val="0"/>
          <w:numId w:val="1"/>
        </w:numPr>
      </w:pPr>
      <w:r>
        <w:t>Adviseert en o</w:t>
      </w:r>
      <w:r w:rsidR="0026120A" w:rsidRPr="00267C2E">
        <w:t xml:space="preserve">ndersteunt </w:t>
      </w:r>
      <w:r>
        <w:t xml:space="preserve">Data Stewards, </w:t>
      </w:r>
      <w:r w:rsidR="0026120A" w:rsidRPr="00267C2E">
        <w:t>Business Consultants</w:t>
      </w:r>
      <w:r w:rsidR="0026120A">
        <w:t xml:space="preserve"> en projectleiders</w:t>
      </w:r>
      <w:r w:rsidR="0026120A" w:rsidRPr="00267C2E">
        <w:t xml:space="preserve"> in het </w:t>
      </w:r>
      <w:r>
        <w:t>verkrijgen van cluster overstijgende dataverzoeken.</w:t>
      </w:r>
    </w:p>
    <w:p w:rsidR="0026120A" w:rsidRPr="00267C2E" w:rsidRDefault="00FA48E8" w:rsidP="0026120A">
      <w:pPr>
        <w:numPr>
          <w:ilvl w:val="0"/>
          <w:numId w:val="1"/>
        </w:numPr>
      </w:pPr>
      <w:r>
        <w:t>Is v</w:t>
      </w:r>
      <w:r w:rsidR="0026120A" w:rsidRPr="00267C2E">
        <w:t>erantwoordelijk voor de uitvraag van de kwaliteitseisen waaraan te leveren data dient te voldoen (o.a. forma</w:t>
      </w:r>
      <w:r>
        <w:t xml:space="preserve">at, </w:t>
      </w:r>
      <w:proofErr w:type="spellStart"/>
      <w:r>
        <w:t>granulariteit</w:t>
      </w:r>
      <w:proofErr w:type="spellEnd"/>
      <w:r>
        <w:t>, actualiteit).</w:t>
      </w:r>
    </w:p>
    <w:p w:rsidR="0026120A" w:rsidRPr="00267C2E" w:rsidRDefault="0026120A" w:rsidP="0026120A">
      <w:pPr>
        <w:numPr>
          <w:ilvl w:val="0"/>
          <w:numId w:val="1"/>
        </w:numPr>
      </w:pPr>
      <w:r w:rsidRPr="00267C2E">
        <w:t>Stemt met de bronhouders de leveringsafspraken af en regelt de uite</w:t>
      </w:r>
      <w:r w:rsidR="00FA48E8">
        <w:t>indelijke levering van gegevens.</w:t>
      </w:r>
    </w:p>
    <w:p w:rsidR="0026120A" w:rsidRPr="00267C2E" w:rsidRDefault="00FA48E8" w:rsidP="0026120A">
      <w:pPr>
        <w:numPr>
          <w:ilvl w:val="0"/>
          <w:numId w:val="1"/>
        </w:numPr>
      </w:pPr>
      <w:r>
        <w:t>Is v</w:t>
      </w:r>
      <w:r w:rsidR="0026120A" w:rsidRPr="00267C2E">
        <w:t xml:space="preserve">erantwoordelijk voor de totstandkoming en vastlegging van </w:t>
      </w:r>
      <w:r>
        <w:t>de</w:t>
      </w:r>
      <w:r w:rsidR="0026120A" w:rsidRPr="00267C2E">
        <w:t xml:space="preserve"> gegevensleveringsovereenkomst (GLO) tussen de br</w:t>
      </w:r>
      <w:r>
        <w:t>onhouder en afnemer.</w:t>
      </w:r>
    </w:p>
    <w:p w:rsidR="0026120A" w:rsidRPr="00267C2E" w:rsidRDefault="0026120A" w:rsidP="0026120A">
      <w:pPr>
        <w:numPr>
          <w:ilvl w:val="0"/>
          <w:numId w:val="1"/>
        </w:numPr>
      </w:pPr>
      <w:r w:rsidRPr="00267C2E">
        <w:t>Bouwt een inzichtelijk netwerk op van personen binnen Rotterdam met specifieke kennis over gegevens en deelt dit met collega</w:t>
      </w:r>
      <w:r w:rsidR="00FA48E8">
        <w:t xml:space="preserve"> makelaars. </w:t>
      </w:r>
      <w:r w:rsidRPr="00267C2E">
        <w:t xml:space="preserve">Stimuleert tot vastlegging van deze kennis bij de </w:t>
      </w:r>
      <w:r w:rsidR="00FA48E8">
        <w:t>(</w:t>
      </w:r>
      <w:r w:rsidRPr="00267C2E">
        <w:t>concern</w:t>
      </w:r>
      <w:r w:rsidR="00FA48E8">
        <w:t>) gegevensarchitecten.</w:t>
      </w:r>
    </w:p>
    <w:p w:rsidR="0026120A" w:rsidRPr="00267C2E" w:rsidRDefault="0026120A" w:rsidP="0026120A">
      <w:pPr>
        <w:numPr>
          <w:ilvl w:val="0"/>
          <w:numId w:val="1"/>
        </w:numPr>
      </w:pPr>
      <w:r w:rsidRPr="00267C2E">
        <w:t>Zoekt proactief de samenwerking met IIFO</w:t>
      </w:r>
      <w:r w:rsidR="00FA48E8">
        <w:t>-</w:t>
      </w:r>
      <w:r w:rsidRPr="00267C2E">
        <w:t>functionarissen die een rol spelen in de levering va</w:t>
      </w:r>
      <w:r w:rsidR="00FA48E8">
        <w:t>n</w:t>
      </w:r>
      <w:r w:rsidRPr="00267C2E">
        <w:t xml:space="preserve"> gegevens (o.a. privacy</w:t>
      </w:r>
      <w:r>
        <w:t xml:space="preserve"> </w:t>
      </w:r>
      <w:proofErr w:type="spellStart"/>
      <w:r w:rsidR="00FA48E8">
        <w:t>officers</w:t>
      </w:r>
      <w:proofErr w:type="spellEnd"/>
      <w:r w:rsidR="00FA48E8">
        <w:t>).</w:t>
      </w:r>
    </w:p>
    <w:p w:rsidR="0026120A" w:rsidRPr="00267C2E" w:rsidRDefault="0026120A" w:rsidP="0026120A">
      <w:pPr>
        <w:numPr>
          <w:ilvl w:val="0"/>
          <w:numId w:val="1"/>
        </w:numPr>
      </w:pPr>
      <w:r w:rsidRPr="00267C2E">
        <w:t>Adviseert en ondersteunt de concern gegevensarchitect bij he</w:t>
      </w:r>
      <w:r w:rsidR="00FA48E8">
        <w:t>t inrichten en invullen van de gegevenscatalogus.</w:t>
      </w:r>
    </w:p>
    <w:p w:rsidR="0026120A" w:rsidRPr="00267C2E" w:rsidRDefault="0026120A" w:rsidP="0026120A">
      <w:pPr>
        <w:numPr>
          <w:ilvl w:val="0"/>
          <w:numId w:val="1"/>
        </w:numPr>
      </w:pPr>
      <w:r w:rsidRPr="00267C2E">
        <w:t xml:space="preserve">Adviseert de </w:t>
      </w:r>
      <w:r>
        <w:t xml:space="preserve">coördinator gegevensmanagement </w:t>
      </w:r>
      <w:r w:rsidRPr="00267C2E">
        <w:t>bi</w:t>
      </w:r>
      <w:r w:rsidR="00FA48E8">
        <w:t>j het opstellen van richtlijnen.</w:t>
      </w:r>
    </w:p>
    <w:p w:rsidR="00A53D1E" w:rsidRPr="00267C2E" w:rsidRDefault="0026120A" w:rsidP="00A53D1E">
      <w:pPr>
        <w:numPr>
          <w:ilvl w:val="0"/>
          <w:numId w:val="1"/>
        </w:numPr>
      </w:pPr>
      <w:r w:rsidRPr="00267C2E">
        <w:t xml:space="preserve">Levert vanuit business- en informatieperspectief een inhoudelijke bijdrage aan de uitwerking en (de start van) </w:t>
      </w:r>
      <w:r w:rsidR="00A53D1E" w:rsidRPr="00267C2E">
        <w:t>de inrichting van processen en instrumenten vo</w:t>
      </w:r>
      <w:r w:rsidR="00A53D1E">
        <w:t>or gegevensmanagement. De start</w:t>
      </w:r>
      <w:r w:rsidR="00A53D1E" w:rsidRPr="00267C2E">
        <w:t xml:space="preserve">processen en instrumenten zijn: </w:t>
      </w:r>
    </w:p>
    <w:p w:rsidR="00A53D1E" w:rsidRPr="00267C2E" w:rsidRDefault="00A53D1E" w:rsidP="00A53D1E">
      <w:pPr>
        <w:numPr>
          <w:ilvl w:val="1"/>
          <w:numId w:val="1"/>
        </w:numPr>
      </w:pPr>
      <w:r w:rsidRPr="00267C2E">
        <w:t xml:space="preserve">Processen: Data </w:t>
      </w:r>
      <w:proofErr w:type="spellStart"/>
      <w:r w:rsidRPr="00267C2E">
        <w:t>Governance</w:t>
      </w:r>
      <w:proofErr w:type="spellEnd"/>
      <w:r w:rsidRPr="00267C2E">
        <w:t xml:space="preserve">, Metadata management, Data kwaliteit management en Data Architectuur Management en </w:t>
      </w:r>
    </w:p>
    <w:p w:rsidR="00A53D1E" w:rsidRPr="00267C2E" w:rsidRDefault="00A53D1E" w:rsidP="00A53D1E">
      <w:pPr>
        <w:numPr>
          <w:ilvl w:val="1"/>
          <w:numId w:val="1"/>
        </w:numPr>
      </w:pPr>
      <w:r w:rsidRPr="00267C2E">
        <w:t>Instrumenten: Gegevenscatalogus, Gegevenswoordenboek, Kwaliteitseisen en Gegevensleveringsovereenkomst.</w:t>
      </w:r>
    </w:p>
    <w:p w:rsidR="00A53D1E" w:rsidRPr="00267C2E" w:rsidRDefault="00A53D1E" w:rsidP="00A53D1E">
      <w:pPr>
        <w:pStyle w:val="Lijstalinea"/>
        <w:numPr>
          <w:ilvl w:val="0"/>
          <w:numId w:val="1"/>
        </w:numPr>
      </w:pPr>
      <w:r w:rsidRPr="00267C2E">
        <w:t xml:space="preserve">Dit </w:t>
      </w:r>
      <w:r>
        <w:t>gaat</w:t>
      </w:r>
      <w:r w:rsidRPr="00267C2E">
        <w:t xml:space="preserve"> in samenwerking met de clusters </w:t>
      </w:r>
      <w:r>
        <w:t xml:space="preserve">(o.a. Data Stewards) </w:t>
      </w:r>
      <w:r w:rsidRPr="00267C2E">
        <w:t>en de IIFO-afdelingen.</w:t>
      </w:r>
    </w:p>
    <w:p w:rsidR="0026120A" w:rsidRPr="00267C2E" w:rsidRDefault="0026120A" w:rsidP="00A53D1E">
      <w:pPr>
        <w:numPr>
          <w:ilvl w:val="0"/>
          <w:numId w:val="1"/>
        </w:numPr>
      </w:pPr>
      <w:r w:rsidRPr="00267C2E">
        <w:t>Biedt ondersteuning in workshops en kennisontwikkeling rond gegevensmanagement voor zowel de c</w:t>
      </w:r>
      <w:r w:rsidR="00A53D1E">
        <w:t>lusters als IIFO-medewerkers.</w:t>
      </w:r>
    </w:p>
    <w:p w:rsidR="0026120A" w:rsidRPr="00267C2E" w:rsidRDefault="0026120A" w:rsidP="0026120A">
      <w:pPr>
        <w:numPr>
          <w:ilvl w:val="0"/>
          <w:numId w:val="1"/>
        </w:numPr>
      </w:pPr>
      <w:r w:rsidRPr="00267C2E">
        <w:t xml:space="preserve">Verzorgt workshops en kennisontwikkeling rond gegevensmanagement voor zowel de clusters als IIFO-medewerkers. </w:t>
      </w:r>
    </w:p>
    <w:p w:rsidR="0026120A" w:rsidRPr="00267C2E" w:rsidRDefault="0026120A" w:rsidP="0026120A">
      <w:pPr>
        <w:numPr>
          <w:ilvl w:val="0"/>
          <w:numId w:val="1"/>
        </w:numPr>
      </w:pPr>
      <w:r w:rsidRPr="00267C2E">
        <w:t xml:space="preserve">Adviseert de </w:t>
      </w:r>
      <w:r>
        <w:t xml:space="preserve">coördinator gegevensmanagement </w:t>
      </w:r>
      <w:r w:rsidRPr="00267C2E">
        <w:t>bij de verankering van gegevensmanagement in de Business Informatie Plannen en de programma’s en projecten van de clusters.</w:t>
      </w:r>
    </w:p>
    <w:p w:rsidR="0026120A" w:rsidRDefault="0026120A" w:rsidP="0026120A">
      <w:pPr>
        <w:rPr>
          <w:b/>
        </w:rPr>
      </w:pPr>
    </w:p>
    <w:p w:rsidR="0026120A" w:rsidRPr="00267C2E" w:rsidRDefault="0026120A" w:rsidP="0026120A">
      <w:pPr>
        <w:rPr>
          <w:b/>
        </w:rPr>
      </w:pPr>
      <w:r w:rsidRPr="00267C2E">
        <w:rPr>
          <w:b/>
        </w:rPr>
        <w:t>Profi</w:t>
      </w:r>
      <w:bookmarkStart w:id="0" w:name="_GoBack"/>
      <w:bookmarkEnd w:id="0"/>
      <w:r w:rsidRPr="00267C2E">
        <w:rPr>
          <w:b/>
        </w:rPr>
        <w:t>el</w:t>
      </w:r>
    </w:p>
    <w:p w:rsidR="0026120A" w:rsidRPr="00267C2E" w:rsidRDefault="0026120A" w:rsidP="0026120A">
      <w:pPr>
        <w:numPr>
          <w:ilvl w:val="0"/>
          <w:numId w:val="1"/>
        </w:numPr>
      </w:pPr>
      <w:r w:rsidRPr="00267C2E">
        <w:t>Minimaal HBO</w:t>
      </w:r>
      <w:r w:rsidRPr="00267C2E">
        <w:rPr>
          <w:b/>
          <w:bCs/>
          <w:i/>
          <w:iCs/>
        </w:rPr>
        <w:t xml:space="preserve"> </w:t>
      </w:r>
      <w:r w:rsidRPr="00267C2E">
        <w:t xml:space="preserve">werk- en </w:t>
      </w:r>
      <w:r w:rsidR="00A53D1E">
        <w:t>denkniveau.</w:t>
      </w:r>
    </w:p>
    <w:p w:rsidR="0026120A" w:rsidRPr="00267C2E" w:rsidRDefault="0026120A" w:rsidP="0026120A">
      <w:pPr>
        <w:numPr>
          <w:ilvl w:val="0"/>
          <w:numId w:val="1"/>
        </w:numPr>
      </w:pPr>
      <w:r w:rsidRPr="00267C2E">
        <w:t>Informatieanalist met brede kennis van gegevensmanagement, in het bijzonder het KING-raamwerk voor tactisch gegevensmanagement en de DAMA/DMBOK processen</w:t>
      </w:r>
      <w:r w:rsidR="00A53D1E">
        <w:t>.</w:t>
      </w:r>
    </w:p>
    <w:p w:rsidR="0026120A" w:rsidRPr="00267C2E" w:rsidRDefault="0026120A" w:rsidP="0026120A">
      <w:pPr>
        <w:numPr>
          <w:ilvl w:val="0"/>
          <w:numId w:val="1"/>
        </w:numPr>
      </w:pPr>
      <w:r w:rsidRPr="00267C2E">
        <w:t>Aantoonbare ervaring als tussenpersoon (of vergelijkbare functie) tussen vraag en aanbod van gegevens in een complexe overheidsorganisatie</w:t>
      </w:r>
      <w:r w:rsidR="00A53D1E">
        <w:t>s of vergelijkbare instellingen.</w:t>
      </w:r>
    </w:p>
    <w:p w:rsidR="0026120A" w:rsidRPr="00267C2E" w:rsidRDefault="0026120A" w:rsidP="0026120A">
      <w:pPr>
        <w:numPr>
          <w:ilvl w:val="0"/>
          <w:numId w:val="1"/>
        </w:numPr>
      </w:pPr>
      <w:r w:rsidRPr="00267C2E">
        <w:t>Competenties: servicegericht, casemanagement, samenwerken, proactief, initiatiefrijk, resultaatgericht, organisatieb</w:t>
      </w:r>
      <w:r w:rsidR="00A53D1E">
        <w:t>ewustzijn en overtuigingskracht.</w:t>
      </w:r>
    </w:p>
    <w:p w:rsidR="0026120A" w:rsidRPr="00267C2E" w:rsidRDefault="0026120A" w:rsidP="0026120A">
      <w:pPr>
        <w:numPr>
          <w:ilvl w:val="0"/>
          <w:numId w:val="1"/>
        </w:numPr>
      </w:pPr>
      <w:r w:rsidRPr="00267C2E">
        <w:lastRenderedPageBreak/>
        <w:t>Goede beheersing Nederlands en Engels i.c.m. een goede mondelinge en schrif</w:t>
      </w:r>
      <w:r w:rsidR="00A53D1E">
        <w:t>telijke uitdrukkingsvaardigheid.</w:t>
      </w:r>
    </w:p>
    <w:p w:rsidR="0026120A" w:rsidRPr="00267C2E" w:rsidRDefault="0026120A" w:rsidP="0026120A">
      <w:pPr>
        <w:numPr>
          <w:ilvl w:val="0"/>
          <w:numId w:val="1"/>
        </w:numPr>
      </w:pPr>
      <w:r w:rsidRPr="00267C2E">
        <w:t>Specifieke kennis van:</w:t>
      </w:r>
    </w:p>
    <w:p w:rsidR="0026120A" w:rsidRPr="00267C2E" w:rsidRDefault="0026120A" w:rsidP="0026120A">
      <w:pPr>
        <w:numPr>
          <w:ilvl w:val="1"/>
          <w:numId w:val="1"/>
        </w:numPr>
      </w:pPr>
      <w:r w:rsidRPr="00267C2E">
        <w:t>Informatiemanagement</w:t>
      </w:r>
    </w:p>
    <w:p w:rsidR="0026120A" w:rsidRPr="00267C2E" w:rsidRDefault="0026120A" w:rsidP="0026120A">
      <w:pPr>
        <w:numPr>
          <w:ilvl w:val="1"/>
          <w:numId w:val="1"/>
        </w:numPr>
      </w:pPr>
      <w:r w:rsidRPr="00267C2E">
        <w:t>Case- en servicemanagement</w:t>
      </w:r>
    </w:p>
    <w:p w:rsidR="0026120A" w:rsidRPr="00267C2E" w:rsidRDefault="0026120A" w:rsidP="0026120A">
      <w:pPr>
        <w:numPr>
          <w:ilvl w:val="1"/>
          <w:numId w:val="1"/>
        </w:numPr>
      </w:pPr>
      <w:r w:rsidRPr="00267C2E">
        <w:t>Informatieanalyse</w:t>
      </w:r>
    </w:p>
    <w:p w:rsidR="0026120A" w:rsidRPr="00267C2E" w:rsidRDefault="0026120A" w:rsidP="0026120A">
      <w:pPr>
        <w:numPr>
          <w:ilvl w:val="1"/>
          <w:numId w:val="1"/>
        </w:numPr>
      </w:pPr>
      <w:r w:rsidRPr="00267C2E">
        <w:t>Gegevens- en bewerkingsovereenkomsten</w:t>
      </w:r>
    </w:p>
    <w:p w:rsidR="0026120A" w:rsidRPr="00267C2E" w:rsidRDefault="0026120A" w:rsidP="0026120A">
      <w:pPr>
        <w:numPr>
          <w:ilvl w:val="1"/>
          <w:numId w:val="1"/>
        </w:numPr>
      </w:pPr>
      <w:r w:rsidRPr="00267C2E">
        <w:t>Basis- en kernregistraties</w:t>
      </w:r>
    </w:p>
    <w:p w:rsidR="0026120A" w:rsidRPr="00267C2E" w:rsidRDefault="0026120A" w:rsidP="0026120A">
      <w:pPr>
        <w:numPr>
          <w:ilvl w:val="1"/>
          <w:numId w:val="1"/>
        </w:numPr>
      </w:pPr>
      <w:r w:rsidRPr="00267C2E">
        <w:t>Open Data</w:t>
      </w:r>
    </w:p>
    <w:p w:rsidR="0026120A" w:rsidRDefault="0026120A" w:rsidP="0026120A">
      <w:pPr>
        <w:numPr>
          <w:ilvl w:val="1"/>
          <w:numId w:val="1"/>
        </w:numPr>
      </w:pPr>
      <w:r w:rsidRPr="00267C2E">
        <w:t>Datakwaliteit</w:t>
      </w:r>
    </w:p>
    <w:p w:rsidR="0026120A" w:rsidRDefault="0026120A" w:rsidP="0026120A">
      <w:pPr>
        <w:spacing w:line="240" w:lineRule="auto"/>
      </w:pPr>
    </w:p>
    <w:p w:rsidR="005D22D6" w:rsidRDefault="005D22D6" w:rsidP="005D22D6">
      <w:pPr>
        <w:rPr>
          <w:b/>
        </w:rPr>
      </w:pPr>
      <w:r>
        <w:rPr>
          <w:b/>
        </w:rPr>
        <w:t>Functieniveau (indicatief)</w:t>
      </w:r>
    </w:p>
    <w:p w:rsidR="005D22D6" w:rsidRDefault="005D22D6" w:rsidP="005D22D6">
      <w:pPr>
        <w:numPr>
          <w:ilvl w:val="0"/>
          <w:numId w:val="2"/>
        </w:numPr>
      </w:pPr>
      <w:r>
        <w:t>Schaal 1</w:t>
      </w:r>
      <w:r w:rsidR="00A53D1E">
        <w:t>1</w:t>
      </w:r>
      <w:r>
        <w:t>.</w:t>
      </w:r>
    </w:p>
    <w:p w:rsidR="005D22D6" w:rsidRDefault="005D22D6" w:rsidP="0026120A">
      <w:pPr>
        <w:spacing w:line="240" w:lineRule="auto"/>
      </w:pPr>
    </w:p>
    <w:p w:rsidR="00EB6F01" w:rsidRDefault="00EB6F01"/>
    <w:sectPr w:rsidR="00EB6F01" w:rsidSect="00BB0FD5">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15AF1"/>
    <w:multiLevelType w:val="hybridMultilevel"/>
    <w:tmpl w:val="7A4C5264"/>
    <w:lvl w:ilvl="0" w:tplc="E77289A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390713"/>
    <w:multiLevelType w:val="hybridMultilevel"/>
    <w:tmpl w:val="1BBA347C"/>
    <w:lvl w:ilvl="0" w:tplc="69EE6D8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0D412E"/>
    <w:multiLevelType w:val="hybridMultilevel"/>
    <w:tmpl w:val="5B0EA6AC"/>
    <w:lvl w:ilvl="0" w:tplc="8F8A4E50">
      <w:start w:val="2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0A"/>
    <w:rsid w:val="000751BA"/>
    <w:rsid w:val="000F7506"/>
    <w:rsid w:val="001B7F60"/>
    <w:rsid w:val="001F3811"/>
    <w:rsid w:val="0024651C"/>
    <w:rsid w:val="0026120A"/>
    <w:rsid w:val="002A3440"/>
    <w:rsid w:val="002C44CC"/>
    <w:rsid w:val="004A55A7"/>
    <w:rsid w:val="005D22D6"/>
    <w:rsid w:val="00633D9C"/>
    <w:rsid w:val="00956A3C"/>
    <w:rsid w:val="00A53D1E"/>
    <w:rsid w:val="00B41B9A"/>
    <w:rsid w:val="00BB0FD5"/>
    <w:rsid w:val="00D1149E"/>
    <w:rsid w:val="00DF7A6F"/>
    <w:rsid w:val="00EB6F01"/>
    <w:rsid w:val="00F4433D"/>
    <w:rsid w:val="00FA48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6EEE9-378B-458F-862F-6082CF8B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120A"/>
    <w:pPr>
      <w:spacing w:after="0" w:line="280" w:lineRule="atLeast"/>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3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03T20:43:52.791"/>
    </inkml:context>
    <inkml:brush xml:id="br0">
      <inkml:brushProperty name="width" value="0.02356" units="cm"/>
      <inkml:brushProperty name="height" value="0.02356" units="cm"/>
    </inkml:brush>
  </inkml:definitions>
  <inkml:trace contextRef="#ctx0" brushRef="#br0">26165 10217 11008,'0'0'0</inkml:trace>
</inkml:ink>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10855883</Template>
  <TotalTime>98</TotalTime>
  <Pages>2</Pages>
  <Words>632</Words>
  <Characters>3480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Dekker J.M. (Jaap)</dc:creator>
  <cp:keywords/>
  <dc:description/>
  <cp:lastModifiedBy>Dekker J.M. (Jaap)</cp:lastModifiedBy>
  <cp:revision>5</cp:revision>
  <dcterms:created xsi:type="dcterms:W3CDTF">2017-12-13T16:08:00Z</dcterms:created>
  <dcterms:modified xsi:type="dcterms:W3CDTF">2017-12-20T09:04:00Z</dcterms:modified>
</cp:coreProperties>
</file>