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75" w:rsidRPr="009F1815" w:rsidRDefault="00F12975" w:rsidP="009F1815">
      <w:pPr>
        <w:pStyle w:val="Bodytext30"/>
        <w:shd w:val="clear" w:color="auto" w:fill="auto"/>
        <w:spacing w:before="0" w:after="240" w:line="270" w:lineRule="exact"/>
        <w:ind w:left="140" w:right="700" w:firstLine="0"/>
        <w:jc w:val="right"/>
        <w:rPr>
          <w:b/>
        </w:rPr>
      </w:pPr>
      <w:r w:rsidRPr="009F1815">
        <w:rPr>
          <w:b/>
        </w:rPr>
        <w:t>ПРИЛОЖЕНИ</w:t>
      </w:r>
      <w:r>
        <w:rPr>
          <w:b/>
        </w:rPr>
        <w:t>Е</w:t>
      </w:r>
      <w:r w:rsidRPr="009F1815">
        <w:rPr>
          <w:b/>
        </w:rPr>
        <w:t xml:space="preserve"> №2</w:t>
      </w:r>
    </w:p>
    <w:p w:rsidR="00F12975" w:rsidRDefault="00F12975" w:rsidP="006F68D1">
      <w:pPr>
        <w:pStyle w:val="Bodytext30"/>
        <w:shd w:val="clear" w:color="auto" w:fill="auto"/>
        <w:spacing w:before="0" w:after="240" w:line="270" w:lineRule="exact"/>
        <w:ind w:left="140" w:right="700" w:firstLine="0"/>
        <w:rPr>
          <w:b/>
        </w:rPr>
      </w:pPr>
    </w:p>
    <w:p w:rsidR="00F12975" w:rsidRPr="006F68D1" w:rsidRDefault="00F12975" w:rsidP="006F68D1">
      <w:pPr>
        <w:pStyle w:val="Bodytext30"/>
        <w:shd w:val="clear" w:color="auto" w:fill="auto"/>
        <w:spacing w:before="0" w:after="240" w:line="270" w:lineRule="exact"/>
        <w:ind w:left="140" w:right="700" w:firstLine="0"/>
        <w:rPr>
          <w:b/>
        </w:rPr>
      </w:pPr>
      <w:r w:rsidRPr="006F68D1">
        <w:rPr>
          <w:b/>
        </w:rPr>
        <w:t>МЕТОДИКА ЗА ОПРЕДЕЛЯНЕ НА КОМПЛЕКСНАТА ОЦЕНКА НА ОФЕРТАТА</w:t>
      </w:r>
    </w:p>
    <w:p w:rsidR="00F12975" w:rsidRPr="00A33FA0" w:rsidRDefault="00F12975" w:rsidP="00096FCD">
      <w:pPr>
        <w:pStyle w:val="Bodytext30"/>
        <w:shd w:val="clear" w:color="auto" w:fill="auto"/>
        <w:spacing w:before="0" w:after="0" w:line="270" w:lineRule="exact"/>
        <w:ind w:left="140" w:right="300" w:firstLine="560"/>
        <w:jc w:val="both"/>
      </w:pPr>
      <w:r w:rsidRPr="00A33FA0">
        <w:rPr>
          <w:rStyle w:val="Bodytext3NotBold"/>
          <w:bCs/>
        </w:rPr>
        <w:t>Критерият за оценяване на офертите е</w:t>
      </w:r>
      <w:r w:rsidRPr="00A33FA0">
        <w:t xml:space="preserve"> „ИКОНОМИЧЕСКИ НАЙ-ИЗГОДНА ОФЕРТА" - „ОПТИМАЛНО СЪОТНОШЕНИЕ КАЧЕСТВО/ЦЕНА":</w:t>
      </w:r>
    </w:p>
    <w:p w:rsidR="00F12975" w:rsidRPr="00A33FA0" w:rsidRDefault="00F12975" w:rsidP="00096FCD">
      <w:pPr>
        <w:pStyle w:val="BodyText31"/>
        <w:shd w:val="clear" w:color="auto" w:fill="auto"/>
        <w:spacing w:after="264" w:line="270" w:lineRule="exact"/>
        <w:ind w:left="140" w:right="300" w:firstLine="560"/>
      </w:pPr>
      <w:r w:rsidRPr="00A33FA0">
        <w:t>Оценка на допуснатите оферти се извършва съгласно следната утвърдена от възложителя методика за оценка на офертите при следните показатели и тежест за определяне на общата комплексна оценка (КО).</w:t>
      </w:r>
    </w:p>
    <w:p w:rsidR="00F12975" w:rsidRPr="00A33FA0" w:rsidRDefault="00F12975" w:rsidP="00096FCD">
      <w:pPr>
        <w:pStyle w:val="BodyText31"/>
        <w:shd w:val="clear" w:color="auto" w:fill="auto"/>
        <w:spacing w:after="176" w:line="240" w:lineRule="exact"/>
        <w:ind w:left="140" w:firstLine="560"/>
      </w:pPr>
      <w:r w:rsidRPr="00A33FA0">
        <w:t>Комплексната оценка (КО) на офертата на участника се изчислява по формулата:</w:t>
      </w:r>
    </w:p>
    <w:p w:rsidR="00F12975" w:rsidRPr="00A33FA0" w:rsidRDefault="00F12975" w:rsidP="00096FCD">
      <w:pPr>
        <w:pStyle w:val="BodyText31"/>
        <w:shd w:val="clear" w:color="auto" w:fill="auto"/>
        <w:spacing w:line="240" w:lineRule="exact"/>
        <w:ind w:left="142" w:firstLine="561"/>
      </w:pPr>
      <w:r w:rsidRPr="00A33FA0">
        <w:t xml:space="preserve">КО = П1 х </w:t>
      </w:r>
      <w:r>
        <w:rPr>
          <w:lang w:val="en-US"/>
        </w:rPr>
        <w:t>3</w:t>
      </w:r>
      <w:r w:rsidRPr="00A33FA0">
        <w:t xml:space="preserve">0% + П2 х </w:t>
      </w:r>
      <w:r>
        <w:rPr>
          <w:lang w:val="en-US"/>
        </w:rPr>
        <w:t>7</w:t>
      </w:r>
      <w:r w:rsidRPr="00A33FA0">
        <w:t>0%</w:t>
      </w:r>
    </w:p>
    <w:p w:rsidR="00F12975" w:rsidRDefault="00F12975" w:rsidP="00096FCD">
      <w:pPr>
        <w:pStyle w:val="BodyText31"/>
        <w:shd w:val="clear" w:color="auto" w:fill="auto"/>
        <w:ind w:left="142" w:right="300" w:firstLine="561"/>
      </w:pPr>
    </w:p>
    <w:p w:rsidR="00F12975" w:rsidRPr="00A33FA0" w:rsidRDefault="00F12975" w:rsidP="00096FCD">
      <w:pPr>
        <w:pStyle w:val="BodyText31"/>
        <w:shd w:val="clear" w:color="auto" w:fill="auto"/>
        <w:ind w:left="142" w:right="300" w:firstLine="561"/>
      </w:pPr>
      <w:r w:rsidRPr="00A33FA0">
        <w:t>Комплексната оценка се формира като сума от оценките за всички показатели в методиката и има максимална стойност 100 точки.</w:t>
      </w:r>
    </w:p>
    <w:p w:rsidR="00F12975" w:rsidRPr="00A33FA0" w:rsidRDefault="00F12975" w:rsidP="00096FCD">
      <w:pPr>
        <w:pStyle w:val="BodyText31"/>
        <w:shd w:val="clear" w:color="auto" w:fill="auto"/>
        <w:spacing w:after="176" w:line="240" w:lineRule="exact"/>
        <w:ind w:left="140" w:firstLine="560"/>
      </w:pPr>
      <w:r w:rsidRPr="00A33FA0">
        <w:t>На първо място ще бъде класиран участникът, събрал максимален брой точки.</w:t>
      </w:r>
    </w:p>
    <w:p w:rsidR="00F12975" w:rsidRPr="00A33FA0" w:rsidRDefault="00F12975" w:rsidP="00096FCD">
      <w:pPr>
        <w:pStyle w:val="BodyText31"/>
        <w:shd w:val="clear" w:color="auto" w:fill="auto"/>
        <w:spacing w:after="312" w:line="240" w:lineRule="exact"/>
        <w:ind w:left="140" w:firstLine="560"/>
      </w:pPr>
      <w:r w:rsidRPr="00A33FA0">
        <w:t>„Комплексната оценка" се определя на база следните показатели:</w:t>
      </w:r>
    </w:p>
    <w:tbl>
      <w:tblPr>
        <w:tblW w:w="0" w:type="auto"/>
        <w:jc w:val="center"/>
        <w:tblLayout w:type="fixed"/>
        <w:tblCellMar>
          <w:left w:w="10" w:type="dxa"/>
          <w:right w:w="10" w:type="dxa"/>
        </w:tblCellMar>
        <w:tblLook w:val="0000"/>
      </w:tblPr>
      <w:tblGrid>
        <w:gridCol w:w="4986"/>
        <w:gridCol w:w="2358"/>
        <w:gridCol w:w="2506"/>
      </w:tblGrid>
      <w:tr w:rsidR="00F12975" w:rsidRPr="00A33FA0" w:rsidTr="00B635AF">
        <w:trPr>
          <w:trHeight w:val="781"/>
          <w:jc w:val="center"/>
        </w:trPr>
        <w:tc>
          <w:tcPr>
            <w:tcW w:w="4986" w:type="dxa"/>
            <w:tcBorders>
              <w:top w:val="single" w:sz="4" w:space="0" w:color="auto"/>
              <w:left w:val="single" w:sz="4" w:space="0" w:color="auto"/>
              <w:bottom w:val="single" w:sz="4" w:space="0" w:color="auto"/>
              <w:right w:val="single" w:sz="4" w:space="0" w:color="auto"/>
            </w:tcBorders>
            <w:shd w:val="clear" w:color="auto" w:fill="FFFFFF"/>
          </w:tcPr>
          <w:p w:rsidR="00F12975" w:rsidRPr="00CB5B75" w:rsidRDefault="00F12975" w:rsidP="00B635AF">
            <w:pPr>
              <w:pStyle w:val="Bodytext30"/>
              <w:framePr w:wrap="notBeside" w:vAnchor="text" w:hAnchor="text" w:xAlign="center" w:y="1"/>
              <w:shd w:val="clear" w:color="auto" w:fill="auto"/>
              <w:spacing w:before="0" w:after="0" w:line="338" w:lineRule="exact"/>
              <w:ind w:right="1640" w:firstLine="0"/>
              <w:jc w:val="right"/>
              <w:rPr>
                <w:lang w:eastAsia="en-US"/>
              </w:rPr>
            </w:pPr>
            <w:r w:rsidRPr="00CB5B75">
              <w:rPr>
                <w:lang w:eastAsia="en-US"/>
              </w:rPr>
              <w:t>Показател - П (наименование)</w:t>
            </w:r>
          </w:p>
        </w:tc>
        <w:tc>
          <w:tcPr>
            <w:tcW w:w="2358" w:type="dxa"/>
            <w:tcBorders>
              <w:top w:val="single" w:sz="4" w:space="0" w:color="auto"/>
              <w:left w:val="single" w:sz="4" w:space="0" w:color="auto"/>
              <w:bottom w:val="single" w:sz="4" w:space="0" w:color="auto"/>
              <w:right w:val="single" w:sz="4" w:space="0" w:color="auto"/>
            </w:tcBorders>
            <w:shd w:val="clear" w:color="auto" w:fill="FFFFFF"/>
          </w:tcPr>
          <w:p w:rsidR="00F12975" w:rsidRPr="00CB5B75" w:rsidRDefault="00F12975" w:rsidP="00B635AF">
            <w:pPr>
              <w:pStyle w:val="Bodytext30"/>
              <w:framePr w:wrap="notBeside" w:vAnchor="text" w:hAnchor="text" w:xAlign="center" w:y="1"/>
              <w:shd w:val="clear" w:color="auto" w:fill="auto"/>
              <w:spacing w:before="0" w:after="0"/>
              <w:ind w:left="120" w:firstLine="360"/>
              <w:jc w:val="left"/>
              <w:rPr>
                <w:lang w:eastAsia="en-US"/>
              </w:rPr>
            </w:pPr>
            <w:r w:rsidRPr="00CB5B75">
              <w:rPr>
                <w:lang w:eastAsia="en-US"/>
              </w:rPr>
              <w:t>Максимално възможен бр. точки</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F12975" w:rsidRPr="00CB5B75" w:rsidRDefault="00F12975" w:rsidP="00B635AF">
            <w:pPr>
              <w:pStyle w:val="Bodytext30"/>
              <w:framePr w:wrap="notBeside" w:vAnchor="text" w:hAnchor="text" w:xAlign="center" w:y="1"/>
              <w:shd w:val="clear" w:color="auto" w:fill="auto"/>
              <w:spacing w:before="0" w:after="0" w:line="277" w:lineRule="exact"/>
              <w:ind w:firstLine="0"/>
              <w:rPr>
                <w:lang w:eastAsia="en-US"/>
              </w:rPr>
            </w:pPr>
            <w:r w:rsidRPr="00CB5B75">
              <w:rPr>
                <w:lang w:eastAsia="en-US"/>
              </w:rPr>
              <w:t xml:space="preserve">Относителна тежест </w:t>
            </w:r>
            <w:r w:rsidRPr="00CB5B75">
              <w:rPr>
                <w:rStyle w:val="Bodytext3Spacing1pt"/>
                <w:lang w:eastAsia="en-US"/>
              </w:rPr>
              <w:t>в КО</w:t>
            </w:r>
          </w:p>
        </w:tc>
      </w:tr>
      <w:tr w:rsidR="00F12975" w:rsidRPr="00A33FA0" w:rsidTr="00B635AF">
        <w:trPr>
          <w:trHeight w:val="346"/>
          <w:jc w:val="center"/>
        </w:trPr>
        <w:tc>
          <w:tcPr>
            <w:tcW w:w="4986" w:type="dxa"/>
            <w:tcBorders>
              <w:top w:val="single" w:sz="4" w:space="0" w:color="auto"/>
              <w:left w:val="single" w:sz="4" w:space="0" w:color="auto"/>
              <w:bottom w:val="single" w:sz="4" w:space="0" w:color="auto"/>
              <w:right w:val="single" w:sz="4" w:space="0" w:color="auto"/>
            </w:tcBorders>
            <w:shd w:val="clear" w:color="auto" w:fill="FFFFFF"/>
          </w:tcPr>
          <w:p w:rsidR="00F12975" w:rsidRPr="00CB5B75" w:rsidRDefault="00F12975" w:rsidP="00B635AF">
            <w:pPr>
              <w:pStyle w:val="BodyText31"/>
              <w:framePr w:wrap="notBeside" w:vAnchor="text" w:hAnchor="text" w:xAlign="center" w:y="1"/>
              <w:shd w:val="clear" w:color="auto" w:fill="auto"/>
              <w:spacing w:line="240" w:lineRule="auto"/>
              <w:ind w:left="140" w:firstLine="0"/>
              <w:jc w:val="left"/>
              <w:rPr>
                <w:lang w:eastAsia="en-US"/>
              </w:rPr>
            </w:pPr>
            <w:r w:rsidRPr="00CB5B75">
              <w:rPr>
                <w:lang w:eastAsia="en-US"/>
              </w:rPr>
              <w:t xml:space="preserve">1. </w:t>
            </w:r>
            <w:r w:rsidRPr="00CB5B75">
              <w:rPr>
                <w:lang w:eastAsia="fr-FR"/>
              </w:rPr>
              <w:t xml:space="preserve"> Техническо предложение</w:t>
            </w:r>
            <w:r w:rsidRPr="00CB5B75">
              <w:rPr>
                <w:lang w:eastAsia="en-US"/>
              </w:rPr>
              <w:t xml:space="preserve"> – П1</w:t>
            </w:r>
          </w:p>
        </w:tc>
        <w:tc>
          <w:tcPr>
            <w:tcW w:w="2358" w:type="dxa"/>
            <w:tcBorders>
              <w:top w:val="single" w:sz="4" w:space="0" w:color="auto"/>
              <w:left w:val="single" w:sz="4" w:space="0" w:color="auto"/>
              <w:bottom w:val="single" w:sz="4" w:space="0" w:color="auto"/>
              <w:right w:val="single" w:sz="4" w:space="0" w:color="auto"/>
            </w:tcBorders>
            <w:shd w:val="clear" w:color="auto" w:fill="FFFFFF"/>
          </w:tcPr>
          <w:p w:rsidR="00F12975" w:rsidRPr="001606D9" w:rsidRDefault="00F12975" w:rsidP="00B635AF">
            <w:pPr>
              <w:pStyle w:val="Bodytext140"/>
              <w:framePr w:wrap="notBeside" w:vAnchor="text" w:hAnchor="text" w:xAlign="center" w:y="1"/>
              <w:shd w:val="clear" w:color="auto" w:fill="auto"/>
              <w:spacing w:line="240" w:lineRule="auto"/>
              <w:ind w:left="1020"/>
              <w:rPr>
                <w:lang w:val="en-US" w:eastAsia="en-US"/>
              </w:rPr>
            </w:pPr>
            <w:r>
              <w:rPr>
                <w:lang w:val="en-US" w:eastAsia="en-US"/>
              </w:rPr>
              <w:t>30</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F12975" w:rsidRPr="00CB5B75" w:rsidRDefault="00F12975" w:rsidP="00B635AF">
            <w:pPr>
              <w:pStyle w:val="Bodytext30"/>
              <w:framePr w:wrap="notBeside" w:vAnchor="text" w:hAnchor="text" w:xAlign="center" w:y="1"/>
              <w:shd w:val="clear" w:color="auto" w:fill="auto"/>
              <w:spacing w:before="0" w:after="0" w:line="240" w:lineRule="auto"/>
              <w:ind w:firstLine="0"/>
              <w:rPr>
                <w:b/>
                <w:lang w:eastAsia="en-US"/>
              </w:rPr>
            </w:pPr>
            <w:r>
              <w:rPr>
                <w:rStyle w:val="Bodytext3Spacing1pt"/>
                <w:b/>
                <w:lang w:val="en-US" w:eastAsia="en-US"/>
              </w:rPr>
              <w:t>3</w:t>
            </w:r>
            <w:r w:rsidRPr="00CB5B75">
              <w:rPr>
                <w:rStyle w:val="Bodytext3Spacing1pt"/>
                <w:b/>
                <w:lang w:eastAsia="en-US"/>
              </w:rPr>
              <w:t>0%</w:t>
            </w:r>
          </w:p>
        </w:tc>
      </w:tr>
      <w:tr w:rsidR="00F12975" w:rsidRPr="00A33FA0" w:rsidTr="00B635AF">
        <w:trPr>
          <w:trHeight w:val="364"/>
          <w:jc w:val="center"/>
        </w:trPr>
        <w:tc>
          <w:tcPr>
            <w:tcW w:w="4986" w:type="dxa"/>
            <w:tcBorders>
              <w:top w:val="single" w:sz="4" w:space="0" w:color="auto"/>
              <w:left w:val="single" w:sz="4" w:space="0" w:color="auto"/>
              <w:bottom w:val="single" w:sz="4" w:space="0" w:color="auto"/>
              <w:right w:val="single" w:sz="4" w:space="0" w:color="auto"/>
            </w:tcBorders>
            <w:shd w:val="clear" w:color="auto" w:fill="FFFFFF"/>
          </w:tcPr>
          <w:p w:rsidR="00F12975" w:rsidRPr="00CB5B75" w:rsidRDefault="00F12975" w:rsidP="00B635AF">
            <w:pPr>
              <w:pStyle w:val="BodyText31"/>
              <w:framePr w:wrap="notBeside" w:vAnchor="text" w:hAnchor="text" w:xAlign="center" w:y="1"/>
              <w:shd w:val="clear" w:color="auto" w:fill="auto"/>
              <w:spacing w:line="240" w:lineRule="auto"/>
              <w:ind w:left="140" w:firstLine="0"/>
              <w:jc w:val="left"/>
              <w:rPr>
                <w:lang w:eastAsia="en-US"/>
              </w:rPr>
            </w:pPr>
            <w:r w:rsidRPr="00CB5B75">
              <w:rPr>
                <w:lang w:eastAsia="en-US"/>
              </w:rPr>
              <w:t>2. Ценови критерий – П2</w:t>
            </w:r>
          </w:p>
        </w:tc>
        <w:tc>
          <w:tcPr>
            <w:tcW w:w="2358" w:type="dxa"/>
            <w:tcBorders>
              <w:top w:val="single" w:sz="4" w:space="0" w:color="auto"/>
              <w:left w:val="single" w:sz="4" w:space="0" w:color="auto"/>
              <w:bottom w:val="single" w:sz="4" w:space="0" w:color="auto"/>
              <w:right w:val="single" w:sz="4" w:space="0" w:color="auto"/>
            </w:tcBorders>
            <w:shd w:val="clear" w:color="auto" w:fill="FFFFFF"/>
          </w:tcPr>
          <w:p w:rsidR="00F12975" w:rsidRPr="00CB5B75" w:rsidRDefault="00F12975" w:rsidP="00B635AF">
            <w:pPr>
              <w:pStyle w:val="Bodytext150"/>
              <w:framePr w:wrap="notBeside" w:vAnchor="text" w:hAnchor="text" w:xAlign="center" w:y="1"/>
              <w:shd w:val="clear" w:color="auto" w:fill="auto"/>
              <w:spacing w:line="240" w:lineRule="auto"/>
              <w:ind w:left="1020"/>
              <w:rPr>
                <w:lang w:eastAsia="en-US"/>
              </w:rPr>
            </w:pPr>
            <w:r>
              <w:rPr>
                <w:lang w:val="en-US" w:eastAsia="en-US"/>
              </w:rPr>
              <w:t>7</w:t>
            </w:r>
            <w:r w:rsidRPr="00CB5B75">
              <w:rPr>
                <w:lang w:eastAsia="en-US"/>
              </w:rPr>
              <w:t>0</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F12975" w:rsidRPr="00CB5B75" w:rsidRDefault="00F12975" w:rsidP="00B635AF">
            <w:pPr>
              <w:pStyle w:val="BodyText31"/>
              <w:framePr w:wrap="notBeside" w:vAnchor="text" w:hAnchor="text" w:xAlign="center" w:y="1"/>
              <w:shd w:val="clear" w:color="auto" w:fill="auto"/>
              <w:spacing w:line="240" w:lineRule="auto"/>
              <w:ind w:firstLine="0"/>
              <w:jc w:val="center"/>
              <w:rPr>
                <w:b/>
                <w:lang w:eastAsia="en-US"/>
              </w:rPr>
            </w:pPr>
            <w:r w:rsidRPr="004D7028">
              <w:rPr>
                <w:rStyle w:val="BodytextSpacing1pt"/>
                <w:b/>
                <w:lang w:val="en-US" w:eastAsia="en-US"/>
              </w:rPr>
              <w:t>7</w:t>
            </w:r>
            <w:r w:rsidRPr="00CB5B75">
              <w:rPr>
                <w:rStyle w:val="BodytextSpacing1pt"/>
                <w:b/>
                <w:lang w:eastAsia="en-US"/>
              </w:rPr>
              <w:t>0%</w:t>
            </w:r>
          </w:p>
        </w:tc>
      </w:tr>
    </w:tbl>
    <w:p w:rsidR="00F12975" w:rsidRPr="00A33FA0" w:rsidRDefault="00F12975" w:rsidP="00096FCD">
      <w:pPr>
        <w:rPr>
          <w:rFonts w:ascii="Times New Roman" w:hAnsi="Times New Roman" w:cs="Times New Roman"/>
          <w:sz w:val="2"/>
          <w:szCs w:val="2"/>
        </w:rPr>
      </w:pPr>
    </w:p>
    <w:p w:rsidR="00F12975" w:rsidRPr="00A33FA0" w:rsidRDefault="00F12975" w:rsidP="00A8238E">
      <w:pPr>
        <w:pStyle w:val="Bodytext30"/>
        <w:shd w:val="clear" w:color="auto" w:fill="auto"/>
        <w:spacing w:before="120" w:after="120" w:line="360" w:lineRule="auto"/>
        <w:ind w:left="142" w:firstLine="561"/>
        <w:jc w:val="both"/>
      </w:pPr>
      <w:r w:rsidRPr="00A33FA0">
        <w:t>Показатели за оценка:</w:t>
      </w:r>
    </w:p>
    <w:p w:rsidR="00F12975" w:rsidRDefault="00F12975" w:rsidP="00A8238E">
      <w:pPr>
        <w:pStyle w:val="Bodytext30"/>
        <w:shd w:val="clear" w:color="auto" w:fill="auto"/>
        <w:spacing w:before="120" w:after="120" w:line="360" w:lineRule="auto"/>
        <w:ind w:left="142" w:firstLine="561"/>
        <w:jc w:val="both"/>
        <w:rPr>
          <w:b/>
        </w:rPr>
      </w:pPr>
      <w:r w:rsidRPr="00A8238E">
        <w:rPr>
          <w:b/>
        </w:rPr>
        <w:t>1. (П1) Техническо предложение</w:t>
      </w:r>
      <w:r>
        <w:rPr>
          <w:b/>
        </w:rPr>
        <w:t>:</w:t>
      </w:r>
    </w:p>
    <w:p w:rsidR="00F12975" w:rsidRPr="00A33FA0" w:rsidRDefault="00F12975" w:rsidP="00A8238E">
      <w:pPr>
        <w:pStyle w:val="Bodytext30"/>
        <w:shd w:val="clear" w:color="auto" w:fill="auto"/>
        <w:spacing w:before="120" w:after="120" w:line="360" w:lineRule="auto"/>
        <w:ind w:left="142" w:firstLine="561"/>
        <w:jc w:val="both"/>
      </w:pPr>
      <w:r w:rsidRPr="00A33FA0">
        <w:t xml:space="preserve">Максимален брой точки по показателя - </w:t>
      </w:r>
      <w:r>
        <w:rPr>
          <w:lang w:val="en-US"/>
        </w:rPr>
        <w:t>3</w:t>
      </w:r>
      <w:r w:rsidRPr="00A33FA0">
        <w:t xml:space="preserve">0 точки. Относителна тежест на показателя в комплексната оценка </w:t>
      </w:r>
      <w:r>
        <w:rPr>
          <w:lang w:val="en-US"/>
        </w:rPr>
        <w:t>3</w:t>
      </w:r>
      <w:r w:rsidRPr="00A33FA0">
        <w:t>0%. Изчислява се по формулата: П1 = А + Б, Където:</w:t>
      </w:r>
    </w:p>
    <w:tbl>
      <w:tblPr>
        <w:tblW w:w="9508" w:type="dxa"/>
        <w:jc w:val="center"/>
        <w:tblLayout w:type="fixed"/>
        <w:tblCellMar>
          <w:left w:w="10" w:type="dxa"/>
          <w:right w:w="10" w:type="dxa"/>
        </w:tblCellMar>
        <w:tblLook w:val="0000"/>
      </w:tblPr>
      <w:tblGrid>
        <w:gridCol w:w="760"/>
        <w:gridCol w:w="6905"/>
        <w:gridCol w:w="1843"/>
      </w:tblGrid>
      <w:tr w:rsidR="00F12975" w:rsidRPr="00A33FA0" w:rsidTr="00B635AF">
        <w:trPr>
          <w:trHeight w:val="698"/>
          <w:jc w:val="center"/>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F12975" w:rsidRPr="00CB5B75" w:rsidRDefault="00F12975" w:rsidP="00B635AF">
            <w:pPr>
              <w:pStyle w:val="Bodytext160"/>
              <w:framePr w:wrap="notBeside" w:vAnchor="text" w:hAnchor="text" w:xAlign="center" w:y="1"/>
              <w:shd w:val="clear" w:color="auto" w:fill="auto"/>
              <w:spacing w:line="240" w:lineRule="auto"/>
              <w:ind w:left="400"/>
              <w:rPr>
                <w:rFonts w:ascii="Times New Roman" w:hAnsi="Times New Roman"/>
                <w:lang w:eastAsia="en-US"/>
              </w:rPr>
            </w:pPr>
            <w:r w:rsidRPr="00CB5B75">
              <w:rPr>
                <w:rFonts w:ascii="Times New Roman" w:hAnsi="Times New Roman"/>
                <w:lang w:eastAsia="en-US"/>
              </w:rPr>
              <w:t>№</w:t>
            </w:r>
          </w:p>
        </w:tc>
        <w:tc>
          <w:tcPr>
            <w:tcW w:w="6905" w:type="dxa"/>
            <w:tcBorders>
              <w:top w:val="single" w:sz="4" w:space="0" w:color="auto"/>
              <w:left w:val="single" w:sz="4" w:space="0" w:color="auto"/>
              <w:bottom w:val="single" w:sz="4" w:space="0" w:color="auto"/>
              <w:right w:val="single" w:sz="4" w:space="0" w:color="auto"/>
            </w:tcBorders>
            <w:shd w:val="clear" w:color="auto" w:fill="FFFFFF"/>
            <w:vAlign w:val="center"/>
          </w:tcPr>
          <w:p w:rsidR="00F12975" w:rsidRPr="00CB5B75" w:rsidRDefault="00F12975" w:rsidP="00B635AF">
            <w:pPr>
              <w:pStyle w:val="Bodytext30"/>
              <w:framePr w:wrap="notBeside" w:vAnchor="text" w:hAnchor="text" w:xAlign="center" w:y="1"/>
              <w:shd w:val="clear" w:color="auto" w:fill="auto"/>
              <w:spacing w:before="0" w:after="0" w:line="240" w:lineRule="auto"/>
              <w:ind w:left="2820" w:firstLine="0"/>
              <w:jc w:val="left"/>
              <w:rPr>
                <w:lang w:eastAsia="en-US"/>
              </w:rPr>
            </w:pPr>
            <w:r w:rsidRPr="00CB5B75">
              <w:rPr>
                <w:lang w:eastAsia="en-US"/>
              </w:rPr>
              <w:t>Под</w:t>
            </w:r>
            <w:r>
              <w:rPr>
                <w:lang w:val="en-GB" w:eastAsia="en-US"/>
              </w:rPr>
              <w:t>-</w:t>
            </w:r>
            <w:r w:rsidRPr="00CB5B75">
              <w:rPr>
                <w:lang w:eastAsia="en-US"/>
              </w:rPr>
              <w:t>показател</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12975" w:rsidRPr="00CB5B75" w:rsidRDefault="00F12975" w:rsidP="00B635AF">
            <w:pPr>
              <w:pStyle w:val="Bodytext30"/>
              <w:framePr w:wrap="notBeside" w:vAnchor="text" w:hAnchor="text" w:xAlign="center" w:y="1"/>
              <w:shd w:val="clear" w:color="auto" w:fill="auto"/>
              <w:spacing w:before="0" w:after="0" w:line="274" w:lineRule="exact"/>
              <w:ind w:right="440" w:firstLine="0"/>
              <w:jc w:val="left"/>
              <w:rPr>
                <w:lang w:eastAsia="en-US"/>
              </w:rPr>
            </w:pPr>
            <w:r w:rsidRPr="00CB5B75">
              <w:rPr>
                <w:lang w:eastAsia="en-US"/>
              </w:rPr>
              <w:t>Макс. бр. точки</w:t>
            </w:r>
          </w:p>
        </w:tc>
      </w:tr>
      <w:tr w:rsidR="00F12975" w:rsidRPr="00A33FA0" w:rsidTr="00B635AF">
        <w:trPr>
          <w:trHeight w:val="403"/>
          <w:jc w:val="center"/>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F12975" w:rsidRPr="00CB5B75" w:rsidRDefault="00F12975" w:rsidP="00B635AF">
            <w:pPr>
              <w:pStyle w:val="BodyText31"/>
              <w:framePr w:wrap="notBeside" w:vAnchor="text" w:hAnchor="text" w:xAlign="center" w:y="1"/>
              <w:shd w:val="clear" w:color="auto" w:fill="auto"/>
              <w:spacing w:line="240" w:lineRule="auto"/>
              <w:ind w:left="280" w:firstLine="0"/>
              <w:jc w:val="left"/>
              <w:rPr>
                <w:lang w:eastAsia="en-US"/>
              </w:rPr>
            </w:pPr>
            <w:r w:rsidRPr="00CB5B75">
              <w:rPr>
                <w:lang w:eastAsia="en-US"/>
              </w:rPr>
              <w:t>А.</w:t>
            </w:r>
          </w:p>
        </w:tc>
        <w:tc>
          <w:tcPr>
            <w:tcW w:w="6905" w:type="dxa"/>
            <w:tcBorders>
              <w:top w:val="single" w:sz="4" w:space="0" w:color="auto"/>
              <w:left w:val="single" w:sz="4" w:space="0" w:color="auto"/>
              <w:bottom w:val="single" w:sz="4" w:space="0" w:color="auto"/>
              <w:right w:val="single" w:sz="4" w:space="0" w:color="auto"/>
            </w:tcBorders>
            <w:shd w:val="clear" w:color="auto" w:fill="FFFFFF"/>
            <w:vAlign w:val="center"/>
          </w:tcPr>
          <w:p w:rsidR="00F12975" w:rsidRPr="00CB5B75" w:rsidRDefault="00F12975" w:rsidP="00B635AF">
            <w:pPr>
              <w:pStyle w:val="BodyText31"/>
              <w:framePr w:wrap="notBeside" w:vAnchor="text" w:hAnchor="text" w:xAlign="center" w:y="1"/>
              <w:shd w:val="clear" w:color="auto" w:fill="auto"/>
              <w:spacing w:line="240" w:lineRule="auto"/>
              <w:ind w:firstLine="0"/>
              <w:jc w:val="left"/>
              <w:rPr>
                <w:lang w:eastAsia="en-US"/>
              </w:rPr>
            </w:pPr>
            <w:r w:rsidRPr="00CB5B75">
              <w:rPr>
                <w:lang w:eastAsia="en-US"/>
              </w:rPr>
              <w:t>ПОДХОД И МЕТОДОЛОГИЯ ЗА ИЗПЪЛНЕНИЕ НА УСЛУГИТЕ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12975" w:rsidRPr="007A3295" w:rsidRDefault="00F12975" w:rsidP="00B635AF">
            <w:pPr>
              <w:pStyle w:val="Bodytext170"/>
              <w:framePr w:wrap="notBeside" w:vAnchor="text" w:hAnchor="text" w:xAlign="center" w:y="1"/>
              <w:shd w:val="clear" w:color="auto" w:fill="auto"/>
              <w:spacing w:line="240" w:lineRule="auto"/>
              <w:ind w:left="860"/>
              <w:rPr>
                <w:lang w:val="en-US" w:eastAsia="en-US"/>
              </w:rPr>
            </w:pPr>
            <w:r>
              <w:rPr>
                <w:lang w:val="en-US" w:eastAsia="en-US"/>
              </w:rPr>
              <w:t>7</w:t>
            </w:r>
            <w:r w:rsidRPr="007A3295">
              <w:rPr>
                <w:lang w:val="en-US" w:eastAsia="en-US"/>
              </w:rPr>
              <w:t>0</w:t>
            </w:r>
          </w:p>
        </w:tc>
      </w:tr>
      <w:tr w:rsidR="00F12975" w:rsidRPr="00A33FA0" w:rsidTr="00B635AF">
        <w:trPr>
          <w:trHeight w:val="432"/>
          <w:jc w:val="center"/>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F12975" w:rsidRPr="00CB5B75" w:rsidRDefault="00F12975" w:rsidP="00B635AF">
            <w:pPr>
              <w:pStyle w:val="BodyText31"/>
              <w:framePr w:wrap="notBeside" w:vAnchor="text" w:hAnchor="text" w:xAlign="center" w:y="1"/>
              <w:shd w:val="clear" w:color="auto" w:fill="auto"/>
              <w:spacing w:line="240" w:lineRule="auto"/>
              <w:ind w:left="280" w:firstLine="0"/>
              <w:jc w:val="left"/>
              <w:rPr>
                <w:lang w:eastAsia="en-US"/>
              </w:rPr>
            </w:pPr>
            <w:r w:rsidRPr="00CB5B75">
              <w:rPr>
                <w:lang w:eastAsia="en-US"/>
              </w:rPr>
              <w:t>Б.</w:t>
            </w:r>
          </w:p>
        </w:tc>
        <w:tc>
          <w:tcPr>
            <w:tcW w:w="6905" w:type="dxa"/>
            <w:tcBorders>
              <w:top w:val="single" w:sz="4" w:space="0" w:color="auto"/>
              <w:left w:val="single" w:sz="4" w:space="0" w:color="auto"/>
              <w:bottom w:val="single" w:sz="4" w:space="0" w:color="auto"/>
              <w:right w:val="single" w:sz="4" w:space="0" w:color="auto"/>
            </w:tcBorders>
            <w:shd w:val="clear" w:color="auto" w:fill="FFFFFF"/>
            <w:vAlign w:val="center"/>
          </w:tcPr>
          <w:p w:rsidR="00F12975" w:rsidRPr="00CB5B75" w:rsidRDefault="00F12975" w:rsidP="00B635AF">
            <w:pPr>
              <w:pStyle w:val="BodyText31"/>
              <w:framePr w:wrap="notBeside" w:vAnchor="text" w:hAnchor="text" w:xAlign="center" w:y="1"/>
              <w:shd w:val="clear" w:color="auto" w:fill="auto"/>
              <w:spacing w:line="240" w:lineRule="auto"/>
              <w:ind w:firstLine="0"/>
              <w:jc w:val="left"/>
              <w:rPr>
                <w:lang w:eastAsia="en-US"/>
              </w:rPr>
            </w:pPr>
            <w:r w:rsidRPr="00CB5B75">
              <w:rPr>
                <w:lang w:eastAsia="en-US"/>
              </w:rPr>
              <w:t>ПОДХОД И МЕТОДОЛОГИЯ ЗА ПРОВЕЖДАНЕ НА ИНФОРМАЦИОННИ КАМПАНИИ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12975" w:rsidRPr="007A3295" w:rsidRDefault="00F12975" w:rsidP="00B635AF">
            <w:pPr>
              <w:pStyle w:val="BodyText31"/>
              <w:framePr w:wrap="notBeside" w:vAnchor="text" w:hAnchor="text" w:xAlign="center" w:y="1"/>
              <w:shd w:val="clear" w:color="auto" w:fill="auto"/>
              <w:spacing w:line="240" w:lineRule="auto"/>
              <w:ind w:left="860" w:firstLine="0"/>
              <w:jc w:val="left"/>
              <w:rPr>
                <w:lang w:val="en-US" w:eastAsia="en-US"/>
              </w:rPr>
            </w:pPr>
            <w:r>
              <w:rPr>
                <w:lang w:val="en-US" w:eastAsia="en-US"/>
              </w:rPr>
              <w:t>3</w:t>
            </w:r>
            <w:r w:rsidRPr="007A3295">
              <w:rPr>
                <w:lang w:val="en-US" w:eastAsia="en-US"/>
              </w:rPr>
              <w:t>0</w:t>
            </w:r>
          </w:p>
        </w:tc>
      </w:tr>
      <w:tr w:rsidR="00F12975" w:rsidRPr="00A33FA0" w:rsidTr="00B635AF">
        <w:trPr>
          <w:trHeight w:val="472"/>
          <w:jc w:val="center"/>
        </w:trPr>
        <w:tc>
          <w:tcPr>
            <w:tcW w:w="76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2975" w:rsidRPr="00CB5B75" w:rsidRDefault="00F12975" w:rsidP="00B635AF">
            <w:pPr>
              <w:pStyle w:val="BodyText31"/>
              <w:framePr w:wrap="notBeside" w:vAnchor="text" w:hAnchor="text" w:xAlign="center" w:y="1"/>
              <w:shd w:val="clear" w:color="auto" w:fill="auto"/>
              <w:spacing w:line="240" w:lineRule="auto"/>
              <w:ind w:left="6720" w:firstLine="0"/>
              <w:jc w:val="left"/>
              <w:rPr>
                <w:lang w:eastAsia="en-US"/>
              </w:rPr>
            </w:pPr>
            <w:r w:rsidRPr="00CB5B75">
              <w:rPr>
                <w:lang w:eastAsia="en-US"/>
              </w:rPr>
              <w:t>ОБЩО: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12975" w:rsidRPr="00CB5B75" w:rsidRDefault="00F12975" w:rsidP="00B635AF">
            <w:pPr>
              <w:pStyle w:val="Bodytext80"/>
              <w:framePr w:wrap="notBeside" w:vAnchor="text" w:hAnchor="text" w:xAlign="center" w:y="1"/>
              <w:shd w:val="clear" w:color="auto" w:fill="auto"/>
              <w:spacing w:line="240" w:lineRule="auto"/>
              <w:ind w:left="860"/>
              <w:rPr>
                <w:rFonts w:ascii="Times New Roman" w:hAnsi="Times New Roman"/>
                <w:lang w:eastAsia="en-US"/>
              </w:rPr>
            </w:pPr>
            <w:r>
              <w:rPr>
                <w:rStyle w:val="Bodytext8TimesNewRoman"/>
                <w:lang w:val="en-US" w:eastAsia="en-US"/>
              </w:rPr>
              <w:t>100</w:t>
            </w:r>
          </w:p>
        </w:tc>
      </w:tr>
    </w:tbl>
    <w:p w:rsidR="00F12975" w:rsidRPr="00A33FA0" w:rsidRDefault="00F12975" w:rsidP="00096FCD">
      <w:pPr>
        <w:rPr>
          <w:rFonts w:ascii="Times New Roman" w:hAnsi="Times New Roman" w:cs="Times New Roman"/>
          <w:sz w:val="2"/>
          <w:szCs w:val="2"/>
        </w:rPr>
      </w:pPr>
    </w:p>
    <w:p w:rsidR="00F12975" w:rsidRPr="00A33FA0" w:rsidRDefault="00F12975" w:rsidP="00096FCD">
      <w:pPr>
        <w:pStyle w:val="Bodytext70"/>
        <w:shd w:val="clear" w:color="auto" w:fill="auto"/>
        <w:spacing w:before="197" w:after="182" w:line="288" w:lineRule="exact"/>
        <w:ind w:left="140" w:right="300" w:firstLine="560"/>
      </w:pPr>
      <w:r w:rsidRPr="00A33FA0">
        <w:t>Оценката за всеки един от техническите под</w:t>
      </w:r>
      <w:r>
        <w:rPr>
          <w:lang w:val="en-GB"/>
        </w:rPr>
        <w:t>-</w:t>
      </w:r>
      <w:r w:rsidRPr="00A33FA0">
        <w:t>показатели (А и Б) се формира, както следва:</w:t>
      </w:r>
    </w:p>
    <w:p w:rsidR="00F12975" w:rsidRDefault="00F12975">
      <w:pPr>
        <w:rPr>
          <w:lang w:val="en-US"/>
        </w:rPr>
      </w:pPr>
    </w:p>
    <w:tbl>
      <w:tblPr>
        <w:tblW w:w="93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3"/>
        <w:gridCol w:w="4802"/>
        <w:gridCol w:w="1150"/>
      </w:tblGrid>
      <w:tr w:rsidR="00F12975" w:rsidRPr="00A33FA0" w:rsidTr="00B635AF">
        <w:trPr>
          <w:trHeight w:val="330"/>
        </w:trPr>
        <w:tc>
          <w:tcPr>
            <w:tcW w:w="3403" w:type="dxa"/>
          </w:tcPr>
          <w:p w:rsidR="00F12975" w:rsidRPr="00FA280D" w:rsidRDefault="00F12975" w:rsidP="00B635AF">
            <w:pPr>
              <w:rPr>
                <w:rFonts w:ascii="Times New Roman" w:hAnsi="Times New Roman" w:cs="Times New Roman"/>
                <w:b/>
                <w:bCs/>
                <w:lang w:val="bg-BG"/>
              </w:rPr>
            </w:pPr>
            <w:r w:rsidRPr="00A33FA0">
              <w:rPr>
                <w:rFonts w:ascii="Times New Roman" w:hAnsi="Times New Roman" w:cs="Times New Roman"/>
                <w:b/>
                <w:bCs/>
                <w:lang w:val="bg-BG"/>
              </w:rPr>
              <w:t>ИНДИКАТОР</w:t>
            </w:r>
            <w:r w:rsidRPr="00A33FA0">
              <w:rPr>
                <w:rFonts w:ascii="Times New Roman" w:hAnsi="Times New Roman" w:cs="Times New Roman"/>
                <w:b/>
                <w:bCs/>
                <w:lang w:val="en-US"/>
              </w:rPr>
              <w:t xml:space="preserve"> A</w:t>
            </w:r>
            <w:r>
              <w:rPr>
                <w:rFonts w:ascii="Times New Roman" w:hAnsi="Times New Roman" w:cs="Times New Roman"/>
                <w:b/>
                <w:bCs/>
                <w:lang w:val="bg-BG"/>
              </w:rPr>
              <w:t xml:space="preserve"> - </w:t>
            </w:r>
            <w:r w:rsidRPr="00FA280D">
              <w:rPr>
                <w:rFonts w:ascii="Times New Roman" w:hAnsi="Times New Roman" w:cs="Times New Roman"/>
                <w:b/>
                <w:bCs/>
                <w:lang w:val="bg-BG"/>
              </w:rPr>
              <w:t>подход и методология за изпълнение на услугите</w:t>
            </w:r>
          </w:p>
        </w:tc>
        <w:tc>
          <w:tcPr>
            <w:tcW w:w="4802" w:type="dxa"/>
          </w:tcPr>
          <w:p w:rsidR="00F12975" w:rsidRPr="00A33FA0" w:rsidRDefault="00F12975" w:rsidP="00B635AF">
            <w:pPr>
              <w:jc w:val="center"/>
              <w:rPr>
                <w:rFonts w:ascii="Times New Roman" w:hAnsi="Times New Roman" w:cs="Times New Roman"/>
                <w:b/>
                <w:bCs/>
                <w:lang w:val="bg-BG"/>
              </w:rPr>
            </w:pPr>
            <w:r w:rsidRPr="00A33FA0">
              <w:rPr>
                <w:rFonts w:ascii="Times New Roman" w:hAnsi="Times New Roman" w:cs="Times New Roman"/>
                <w:b/>
                <w:bCs/>
                <w:lang w:val="bg-BG"/>
              </w:rPr>
              <w:t>СТЕПЕН НА СЪОТВЕТСТВИЕ</w:t>
            </w:r>
          </w:p>
        </w:tc>
        <w:tc>
          <w:tcPr>
            <w:tcW w:w="1150" w:type="dxa"/>
          </w:tcPr>
          <w:p w:rsidR="00F12975" w:rsidRPr="00A33FA0" w:rsidRDefault="00F12975" w:rsidP="00B635AF">
            <w:pPr>
              <w:jc w:val="center"/>
              <w:rPr>
                <w:rFonts w:ascii="Times New Roman" w:hAnsi="Times New Roman" w:cs="Times New Roman"/>
                <w:b/>
                <w:bCs/>
                <w:lang w:val="bg-BG"/>
              </w:rPr>
            </w:pPr>
            <w:r w:rsidRPr="00A33FA0">
              <w:rPr>
                <w:rFonts w:ascii="Times New Roman" w:hAnsi="Times New Roman" w:cs="Times New Roman"/>
                <w:b/>
                <w:bCs/>
                <w:lang w:val="bg-BG"/>
              </w:rPr>
              <w:t>Точки</w:t>
            </w:r>
          </w:p>
        </w:tc>
      </w:tr>
      <w:tr w:rsidR="00F12975" w:rsidRPr="00A33FA0" w:rsidTr="00096FCD">
        <w:trPr>
          <w:trHeight w:val="330"/>
        </w:trPr>
        <w:tc>
          <w:tcPr>
            <w:tcW w:w="9355" w:type="dxa"/>
            <w:gridSpan w:val="3"/>
            <w:shd w:val="clear" w:color="auto" w:fill="BDD6EE"/>
          </w:tcPr>
          <w:p w:rsidR="00F12975" w:rsidRPr="00A33FA0" w:rsidRDefault="00F12975" w:rsidP="00B635AF">
            <w:pPr>
              <w:jc w:val="center"/>
              <w:rPr>
                <w:rFonts w:ascii="Times New Roman" w:hAnsi="Times New Roman" w:cs="Times New Roman"/>
                <w:b/>
                <w:bCs/>
                <w:lang w:val="bg-BG"/>
              </w:rPr>
            </w:pPr>
            <w:r w:rsidRPr="00A33FA0">
              <w:rPr>
                <w:rFonts w:ascii="Times New Roman" w:hAnsi="Times New Roman" w:cs="Times New Roman"/>
                <w:lang w:val="bg-BG"/>
              </w:rPr>
              <w:t xml:space="preserve">Оценка на подхода и методологията за изпълнение на </w:t>
            </w:r>
            <w:r>
              <w:rPr>
                <w:rFonts w:ascii="Times New Roman" w:hAnsi="Times New Roman" w:cs="Times New Roman"/>
                <w:lang w:val="bg-BG"/>
              </w:rPr>
              <w:t>услугите</w:t>
            </w:r>
            <w:r w:rsidRPr="00A33FA0">
              <w:rPr>
                <w:rFonts w:ascii="Times New Roman" w:hAnsi="Times New Roman" w:cs="Times New Roman"/>
              </w:rPr>
              <w:t>.</w:t>
            </w:r>
          </w:p>
        </w:tc>
      </w:tr>
      <w:tr w:rsidR="00F12975" w:rsidRPr="00A33FA0" w:rsidTr="00F348CF">
        <w:trPr>
          <w:trHeight w:val="330"/>
        </w:trPr>
        <w:tc>
          <w:tcPr>
            <w:tcW w:w="8205" w:type="dxa"/>
            <w:gridSpan w:val="2"/>
          </w:tcPr>
          <w:p w:rsidR="00F12975" w:rsidRPr="00096FCD" w:rsidRDefault="00F12975" w:rsidP="00096FCD">
            <w:pPr>
              <w:jc w:val="both"/>
              <w:rPr>
                <w:rFonts w:ascii="Times New Roman" w:hAnsi="Times New Roman" w:cs="Times New Roman"/>
                <w:lang w:val="bg-BG"/>
              </w:rPr>
            </w:pPr>
            <w:r w:rsidRPr="00096FCD">
              <w:rPr>
                <w:rFonts w:ascii="Times New Roman" w:hAnsi="Times New Roman" w:cs="Times New Roman"/>
                <w:lang w:val="bg-BG"/>
              </w:rPr>
              <w:t xml:space="preserve">Предложението отговаря на изискванията на Възложителя, посочени в указанията, техническите спецификации, на действащото законодателство, съществуващите изисквания и стандарти  и </w:t>
            </w:r>
            <w:r w:rsidRPr="00096FCD">
              <w:rPr>
                <w:rFonts w:ascii="Times New Roman" w:hAnsi="Times New Roman" w:cs="Times New Roman"/>
                <w:lang w:val="en-US"/>
              </w:rPr>
              <w:t xml:space="preserve"> </w:t>
            </w:r>
            <w:r w:rsidRPr="00096FCD">
              <w:rPr>
                <w:rFonts w:ascii="Times New Roman" w:hAnsi="Times New Roman" w:cs="Times New Roman"/>
                <w:lang w:val="bg-BG"/>
              </w:rPr>
              <w:t xml:space="preserve">е съобразено с предмета на поръчката. Предложението е обвързано с конкретната поръчка. Техническото предложение не преповтаря ТС на Възложителя, а съдържа самостоятелен анализ на дейностите, задачите и целите на поръчката, като се откроява със задълбочен поглед върху качественото изпълнение на услугата и предложения и мерки за подобряване на дейностите, предмет на поръчката с цел максимално задоволяване на потребностите и нуждите на Възложителя и заинтересованите страни. </w:t>
            </w:r>
          </w:p>
          <w:p w:rsidR="00F12975" w:rsidRPr="00096FCD" w:rsidRDefault="00F12975" w:rsidP="00096FCD">
            <w:pPr>
              <w:jc w:val="both"/>
              <w:rPr>
                <w:rFonts w:ascii="Times New Roman" w:hAnsi="Times New Roman" w:cs="Times New Roman"/>
                <w:lang w:val="bg-BG"/>
              </w:rPr>
            </w:pPr>
            <w:r w:rsidRPr="00096FCD">
              <w:rPr>
                <w:rFonts w:ascii="Times New Roman" w:hAnsi="Times New Roman" w:cs="Times New Roman"/>
                <w:lang w:val="bg-BG"/>
              </w:rPr>
              <w:t xml:space="preserve">От предложението е видно, че участникът предлага подход за изпълнение на дейностите, включително подробно обоснована последователност, продължителност и взаимосвързаност, отговарящи на изискванията в ТС и съобразно спецификата на съоръженията за третиране на отпадъците. </w:t>
            </w:r>
          </w:p>
          <w:p w:rsidR="00F12975" w:rsidRPr="00096FCD" w:rsidRDefault="00F12975" w:rsidP="00096FCD">
            <w:pPr>
              <w:jc w:val="both"/>
              <w:rPr>
                <w:rFonts w:ascii="Times New Roman" w:hAnsi="Times New Roman" w:cs="Times New Roman"/>
                <w:lang w:val="bg-BG"/>
              </w:rPr>
            </w:pPr>
            <w:r w:rsidRPr="00096FCD">
              <w:rPr>
                <w:rFonts w:ascii="Times New Roman" w:hAnsi="Times New Roman" w:cs="Times New Roman"/>
                <w:lang w:val="bg-BG"/>
              </w:rPr>
              <w:t>Описани са видовете дейности, мерките и действията при изпълнението на всяка от тях, като от изложеното е видно как същите ще допринесат за качественото изпълнение на поръчката и за достигане на оптимално качество на предлаганата услуга.</w:t>
            </w:r>
          </w:p>
          <w:p w:rsidR="00F12975" w:rsidRPr="00096FCD" w:rsidRDefault="00F12975" w:rsidP="00096FCD">
            <w:pPr>
              <w:jc w:val="both"/>
              <w:rPr>
                <w:rFonts w:ascii="Times New Roman" w:hAnsi="Times New Roman" w:cs="Times New Roman"/>
                <w:lang w:val="bg-BG"/>
              </w:rPr>
            </w:pPr>
            <w:r w:rsidRPr="00096FCD">
              <w:rPr>
                <w:rFonts w:ascii="Times New Roman" w:hAnsi="Times New Roman" w:cs="Times New Roman"/>
                <w:lang w:val="bg-BG"/>
              </w:rPr>
              <w:t xml:space="preserve"> Представено е предложение, което дава цялостна визия и ефективни и реалистични мерки за недопускане на препълване на съдовете и/или замърсяване на прилежащите им територии. </w:t>
            </w:r>
          </w:p>
          <w:p w:rsidR="00F12975" w:rsidRPr="00096FCD" w:rsidRDefault="00F12975" w:rsidP="00096FCD">
            <w:pPr>
              <w:jc w:val="both"/>
              <w:rPr>
                <w:rFonts w:ascii="Times New Roman" w:hAnsi="Times New Roman" w:cs="Times New Roman"/>
                <w:lang w:val="bg-BG"/>
              </w:rPr>
            </w:pPr>
            <w:r w:rsidRPr="00096FCD">
              <w:rPr>
                <w:rFonts w:ascii="Times New Roman" w:hAnsi="Times New Roman" w:cs="Times New Roman"/>
                <w:lang w:val="bg-BG"/>
              </w:rPr>
              <w:t xml:space="preserve">Представена е подробна организация за изпълнение на отделните дейности, организацията и мобилизацията на използваните от участника човешки ресурси, като е направена взаимовръзка и е представена свързаността помежду им. </w:t>
            </w:r>
          </w:p>
          <w:p w:rsidR="00F12975" w:rsidRPr="00A33FA0" w:rsidRDefault="00F12975" w:rsidP="00096FCD">
            <w:pPr>
              <w:jc w:val="both"/>
              <w:rPr>
                <w:rFonts w:ascii="Times New Roman" w:hAnsi="Times New Roman" w:cs="Times New Roman"/>
                <w:b/>
                <w:bCs/>
                <w:lang w:val="bg-BG"/>
              </w:rPr>
            </w:pPr>
            <w:r w:rsidRPr="00096FCD">
              <w:rPr>
                <w:rFonts w:ascii="Times New Roman" w:hAnsi="Times New Roman" w:cs="Times New Roman"/>
                <w:lang w:val="bg-BG"/>
              </w:rPr>
              <w:t>Подробно е описано  разпределението на задачите и отговорностите между човешкия ресурс, който изпълнява дейностите и услугите, както и отношенията и връзките на контрол, взаимодействие, както в екипа, така и с Възложителя и останалите участници в изпълнението на дейността, включително контролните органи. В тази част на предложението присъства както графично представяне на информацията, така и текст, като може да се направи извод, че представената информация напълно съответства помежду си и показва задълбочено познаване на дейността  Предложени са ясни, обосновани и взаимообвързани мерки за управление и контрол на качеството на изпълнение на поръчката, като от описанието може да се направи извод, че предложението на участника гарантира високо качество на услугата.</w:t>
            </w:r>
          </w:p>
        </w:tc>
        <w:tc>
          <w:tcPr>
            <w:tcW w:w="1150" w:type="dxa"/>
          </w:tcPr>
          <w:p w:rsidR="00F12975" w:rsidRPr="00096FCD" w:rsidRDefault="00F12975" w:rsidP="00B635AF">
            <w:pPr>
              <w:jc w:val="center"/>
              <w:rPr>
                <w:rFonts w:ascii="Times New Roman" w:hAnsi="Times New Roman" w:cs="Times New Roman"/>
                <w:b/>
                <w:bCs/>
                <w:lang w:val="en-US"/>
              </w:rPr>
            </w:pPr>
            <w:r>
              <w:rPr>
                <w:rFonts w:ascii="Times New Roman" w:hAnsi="Times New Roman" w:cs="Times New Roman"/>
                <w:b/>
                <w:bCs/>
                <w:lang w:val="en-US"/>
              </w:rPr>
              <w:t>70</w:t>
            </w:r>
          </w:p>
        </w:tc>
      </w:tr>
      <w:tr w:rsidR="00F12975" w:rsidRPr="00A33FA0" w:rsidTr="00FC60A0">
        <w:trPr>
          <w:trHeight w:val="330"/>
        </w:trPr>
        <w:tc>
          <w:tcPr>
            <w:tcW w:w="9355" w:type="dxa"/>
            <w:gridSpan w:val="3"/>
            <w:shd w:val="clear" w:color="auto" w:fill="BDD6EE"/>
          </w:tcPr>
          <w:p w:rsidR="00F12975" w:rsidRDefault="00F12975" w:rsidP="00B635AF">
            <w:pPr>
              <w:jc w:val="center"/>
              <w:rPr>
                <w:rFonts w:ascii="Times New Roman" w:hAnsi="Times New Roman" w:cs="Times New Roman"/>
                <w:b/>
                <w:bCs/>
                <w:lang w:val="en-US"/>
              </w:rPr>
            </w:pPr>
          </w:p>
        </w:tc>
      </w:tr>
      <w:tr w:rsidR="00F12975" w:rsidRPr="00A33FA0" w:rsidTr="009E58D7">
        <w:trPr>
          <w:trHeight w:val="330"/>
        </w:trPr>
        <w:tc>
          <w:tcPr>
            <w:tcW w:w="8205" w:type="dxa"/>
            <w:gridSpan w:val="2"/>
            <w:shd w:val="clear" w:color="auto" w:fill="FFFFFF"/>
          </w:tcPr>
          <w:p w:rsidR="00F12975" w:rsidRDefault="00F12975" w:rsidP="00096FCD">
            <w:pPr>
              <w:jc w:val="both"/>
              <w:rPr>
                <w:rFonts w:ascii="Times New Roman" w:hAnsi="Times New Roman" w:cs="Times New Roman"/>
                <w:lang w:val="bg-BG"/>
              </w:rPr>
            </w:pPr>
            <w:r>
              <w:rPr>
                <w:rFonts w:ascii="Times New Roman" w:hAnsi="Times New Roman" w:cs="Times New Roman"/>
                <w:lang w:val="bg-BG"/>
              </w:rPr>
              <w:t>П</w:t>
            </w:r>
            <w:r w:rsidRPr="00A33FA0">
              <w:rPr>
                <w:rFonts w:ascii="Times New Roman" w:hAnsi="Times New Roman" w:cs="Times New Roman"/>
                <w:lang w:val="bg-BG"/>
              </w:rPr>
              <w:t>редложени</w:t>
            </w:r>
            <w:r>
              <w:rPr>
                <w:rFonts w:ascii="Times New Roman" w:hAnsi="Times New Roman" w:cs="Times New Roman"/>
                <w:lang w:val="bg-BG"/>
              </w:rPr>
              <w:t xml:space="preserve">ето отговаря на изискванията на Възложителя, посочени в указанията, техническите спецификации и </w:t>
            </w:r>
            <w:r>
              <w:rPr>
                <w:rFonts w:ascii="Times New Roman" w:hAnsi="Times New Roman" w:cs="Times New Roman"/>
                <w:lang w:val="en-US"/>
              </w:rPr>
              <w:t>e</w:t>
            </w:r>
            <w:r>
              <w:rPr>
                <w:rFonts w:ascii="Times New Roman" w:hAnsi="Times New Roman" w:cs="Times New Roman"/>
                <w:lang w:val="bg-BG"/>
              </w:rPr>
              <w:t xml:space="preserve"> съобразено с предмета на поръчката. Предложението е обвързано с конкретната поръчка.</w:t>
            </w:r>
          </w:p>
          <w:p w:rsidR="00F12975" w:rsidRPr="00501C5F" w:rsidRDefault="00F12975" w:rsidP="00096FCD">
            <w:pPr>
              <w:jc w:val="both"/>
              <w:rPr>
                <w:rFonts w:ascii="Times New Roman" w:hAnsi="Times New Roman" w:cs="Times New Roman"/>
                <w:lang w:val="bg-BG"/>
              </w:rPr>
            </w:pPr>
            <w:r>
              <w:rPr>
                <w:rFonts w:ascii="Times New Roman" w:hAnsi="Times New Roman" w:cs="Times New Roman"/>
                <w:lang w:val="bg-BG"/>
              </w:rPr>
              <w:t xml:space="preserve"> Техническото предложение не преповтаря ТС на Възложителя, но направеният анализ на дейностите и задачите не е задълбочен и не е обвързан с постигане на качествено изпълнение на услугата. Предложените мерки за подобряване на качеството не са съотносими към предмета на поръчката, не са обосновани и не биха могли да спомогнат за максимално задоволяване на потребностите и нуждите на Възложителя и заинтересованите страни. </w:t>
            </w:r>
          </w:p>
          <w:p w:rsidR="00F12975" w:rsidRDefault="00F12975" w:rsidP="00096FCD">
            <w:pPr>
              <w:jc w:val="both"/>
              <w:rPr>
                <w:rFonts w:ascii="Times New Roman" w:hAnsi="Times New Roman" w:cs="Times New Roman"/>
                <w:lang w:val="bg-BG"/>
              </w:rPr>
            </w:pPr>
          </w:p>
          <w:p w:rsidR="00F12975" w:rsidRPr="00501C5F" w:rsidRDefault="00F12975" w:rsidP="00096FCD">
            <w:pPr>
              <w:jc w:val="both"/>
              <w:rPr>
                <w:rFonts w:ascii="Times New Roman" w:hAnsi="Times New Roman" w:cs="Times New Roman"/>
                <w:lang w:val="bg-BG"/>
              </w:rPr>
            </w:pPr>
            <w:r>
              <w:rPr>
                <w:rFonts w:ascii="Times New Roman" w:hAnsi="Times New Roman" w:cs="Times New Roman"/>
                <w:lang w:val="bg-BG"/>
              </w:rPr>
              <w:t xml:space="preserve">За предложението на участника може да бъде направен извод, че същото съдържа подход за изпълнение на дейностите и последователност, съгласно изискванията на ТС и съобразно спецификата на съоръженията, но същите не са взаимосвързани и подробно обосновани. </w:t>
            </w:r>
          </w:p>
          <w:p w:rsidR="00F12975" w:rsidRDefault="00F12975" w:rsidP="0021560D">
            <w:pPr>
              <w:jc w:val="both"/>
              <w:rPr>
                <w:rFonts w:ascii="Times New Roman" w:hAnsi="Times New Roman" w:cs="Times New Roman"/>
                <w:lang w:val="bg-BG"/>
              </w:rPr>
            </w:pPr>
            <w:r>
              <w:rPr>
                <w:rFonts w:ascii="Times New Roman" w:hAnsi="Times New Roman" w:cs="Times New Roman"/>
                <w:lang w:val="bg-BG"/>
              </w:rPr>
              <w:t xml:space="preserve">В предложението си участникът е описал видовете дейности, мерките и действията при изпълнението на всяка от тях, но изложеното се характеризира с просто изброяване на същите или в описанието не е направена връзката дейности- мерки- действия- подобряване на качеството. </w:t>
            </w:r>
          </w:p>
          <w:p w:rsidR="00F12975" w:rsidRDefault="00F12975" w:rsidP="00096FCD">
            <w:pPr>
              <w:jc w:val="both"/>
              <w:rPr>
                <w:rFonts w:ascii="Times New Roman" w:hAnsi="Times New Roman" w:cs="Times New Roman"/>
                <w:lang w:val="bg-BG"/>
              </w:rPr>
            </w:pPr>
            <w:r>
              <w:rPr>
                <w:rFonts w:ascii="Times New Roman" w:hAnsi="Times New Roman" w:cs="Times New Roman"/>
                <w:lang w:val="bg-BG"/>
              </w:rPr>
              <w:t>В предложението си участникът е изброил мерки за недопускане на препълване на съдовете и/или замърсяване на прилежащите им територии, но същите не са обвързани с ефективни и реалистични, а се характеризират с изброяване и/или формално описание, което не дава цялостна визия на предложението.</w:t>
            </w:r>
          </w:p>
          <w:p w:rsidR="00F12975" w:rsidRDefault="00F12975" w:rsidP="00096FCD">
            <w:pPr>
              <w:jc w:val="both"/>
              <w:rPr>
                <w:rFonts w:ascii="Times New Roman" w:hAnsi="Times New Roman" w:cs="Times New Roman"/>
                <w:lang w:val="bg-BG"/>
              </w:rPr>
            </w:pPr>
            <w:r>
              <w:rPr>
                <w:rFonts w:ascii="Times New Roman" w:hAnsi="Times New Roman" w:cs="Times New Roman"/>
                <w:lang w:val="bg-BG"/>
              </w:rPr>
              <w:t xml:space="preserve">  </w:t>
            </w:r>
          </w:p>
          <w:p w:rsidR="00F12975" w:rsidRDefault="00F12975" w:rsidP="00096FCD">
            <w:pPr>
              <w:jc w:val="both"/>
              <w:rPr>
                <w:rFonts w:ascii="Times New Roman" w:hAnsi="Times New Roman" w:cs="Times New Roman"/>
                <w:lang w:val="bg-BG"/>
              </w:rPr>
            </w:pPr>
            <w:r>
              <w:rPr>
                <w:rFonts w:ascii="Times New Roman" w:hAnsi="Times New Roman" w:cs="Times New Roman"/>
                <w:lang w:val="bg-BG"/>
              </w:rPr>
              <w:t xml:space="preserve">Представена е организация за изпълнение на отделните дейности, организацията и мобилизацията на използваните от участника човешки ресурси, но същата е формална и в нея липсва ясна и обоснована взаимовръзка. </w:t>
            </w:r>
          </w:p>
          <w:p w:rsidR="00F12975" w:rsidRDefault="00F12975" w:rsidP="00096FCD">
            <w:pPr>
              <w:jc w:val="both"/>
              <w:rPr>
                <w:rFonts w:ascii="Times New Roman" w:hAnsi="Times New Roman" w:cs="Times New Roman"/>
                <w:lang w:val="bg-BG"/>
              </w:rPr>
            </w:pPr>
            <w:r>
              <w:rPr>
                <w:rFonts w:ascii="Times New Roman" w:hAnsi="Times New Roman" w:cs="Times New Roman"/>
                <w:lang w:val="bg-BG"/>
              </w:rPr>
              <w:t>Описано е разпределението на задачите и отговорностите между човешкия ресурс, който изпълнява дейностите и услугите, както и отношенията и връзките на контрол, взаимодействие, както в екипа, така и с Възложителя и останалите участници в изпълнението на дейността, включително контролните органи, но същото не е подробно. В тази част на предложението присъства, както графично представяне на информацията, така и текст, поясняващ изложената информация, но са налице пропуски в описанието и/или недостатъчно добре обоснована взаимовръзка в изложението.</w:t>
            </w:r>
          </w:p>
          <w:p w:rsidR="00F12975" w:rsidRDefault="00F12975" w:rsidP="00096FCD">
            <w:pPr>
              <w:jc w:val="both"/>
              <w:rPr>
                <w:rFonts w:ascii="Times New Roman" w:hAnsi="Times New Roman" w:cs="Times New Roman"/>
                <w:lang w:val="bg-BG"/>
              </w:rPr>
            </w:pPr>
            <w:r>
              <w:rPr>
                <w:rFonts w:ascii="Times New Roman" w:hAnsi="Times New Roman" w:cs="Times New Roman"/>
                <w:lang w:val="bg-BG"/>
              </w:rPr>
              <w:t xml:space="preserve">Предложени са мерки за управление и контрол  на качеството на изпълнение на поръчката, но от описанието не е видно и не може да се направи извод, че предложението на участника ще доведе до високо качество на услугата, тъй като същите не са обосновани и обвързани достатъчно подробно. </w:t>
            </w:r>
          </w:p>
          <w:p w:rsidR="00F12975" w:rsidRPr="00096FCD" w:rsidRDefault="00F12975" w:rsidP="00096FCD">
            <w:pPr>
              <w:jc w:val="both"/>
              <w:rPr>
                <w:rFonts w:ascii="Times New Roman" w:hAnsi="Times New Roman" w:cs="Times New Roman"/>
                <w:lang w:val="bg-BG"/>
              </w:rPr>
            </w:pPr>
          </w:p>
        </w:tc>
        <w:tc>
          <w:tcPr>
            <w:tcW w:w="1150" w:type="dxa"/>
            <w:shd w:val="clear" w:color="auto" w:fill="FFFFFF"/>
          </w:tcPr>
          <w:p w:rsidR="00F12975" w:rsidRDefault="00F12975" w:rsidP="00B635AF">
            <w:pPr>
              <w:jc w:val="center"/>
              <w:rPr>
                <w:rFonts w:ascii="Times New Roman" w:hAnsi="Times New Roman" w:cs="Times New Roman"/>
                <w:b/>
                <w:bCs/>
                <w:lang w:val="en-US"/>
              </w:rPr>
            </w:pPr>
            <w:r>
              <w:rPr>
                <w:rFonts w:ascii="Times New Roman" w:hAnsi="Times New Roman" w:cs="Times New Roman"/>
                <w:b/>
                <w:bCs/>
                <w:lang w:val="en-US"/>
              </w:rPr>
              <w:t>40</w:t>
            </w:r>
          </w:p>
        </w:tc>
      </w:tr>
      <w:tr w:rsidR="00F12975" w:rsidRPr="00A33FA0" w:rsidTr="0084300A">
        <w:trPr>
          <w:trHeight w:val="330"/>
        </w:trPr>
        <w:tc>
          <w:tcPr>
            <w:tcW w:w="9355" w:type="dxa"/>
            <w:gridSpan w:val="3"/>
            <w:shd w:val="clear" w:color="auto" w:fill="BDD6EE"/>
          </w:tcPr>
          <w:p w:rsidR="00F12975" w:rsidRDefault="00F12975" w:rsidP="00B635AF">
            <w:pPr>
              <w:jc w:val="center"/>
              <w:rPr>
                <w:rFonts w:ascii="Times New Roman" w:hAnsi="Times New Roman" w:cs="Times New Roman"/>
                <w:b/>
                <w:bCs/>
                <w:lang w:val="en-US"/>
              </w:rPr>
            </w:pPr>
          </w:p>
        </w:tc>
      </w:tr>
      <w:tr w:rsidR="00F12975" w:rsidRPr="00A33FA0" w:rsidTr="009E58D7">
        <w:trPr>
          <w:trHeight w:val="330"/>
        </w:trPr>
        <w:tc>
          <w:tcPr>
            <w:tcW w:w="8205" w:type="dxa"/>
            <w:gridSpan w:val="2"/>
            <w:shd w:val="clear" w:color="auto" w:fill="FFFFFF"/>
          </w:tcPr>
          <w:p w:rsidR="00F12975" w:rsidRDefault="00F12975" w:rsidP="00096FCD">
            <w:pPr>
              <w:jc w:val="both"/>
              <w:rPr>
                <w:rFonts w:ascii="Times New Roman" w:hAnsi="Times New Roman" w:cs="Times New Roman"/>
                <w:lang w:val="bg-BG"/>
              </w:rPr>
            </w:pPr>
            <w:r>
              <w:rPr>
                <w:rFonts w:ascii="Times New Roman" w:hAnsi="Times New Roman" w:cs="Times New Roman"/>
                <w:lang w:val="bg-BG"/>
              </w:rPr>
              <w:t>П</w:t>
            </w:r>
            <w:r w:rsidRPr="00A33FA0">
              <w:rPr>
                <w:rFonts w:ascii="Times New Roman" w:hAnsi="Times New Roman" w:cs="Times New Roman"/>
                <w:lang w:val="bg-BG"/>
              </w:rPr>
              <w:t>редложени</w:t>
            </w:r>
            <w:r>
              <w:rPr>
                <w:rFonts w:ascii="Times New Roman" w:hAnsi="Times New Roman" w:cs="Times New Roman"/>
                <w:lang w:val="bg-BG"/>
              </w:rPr>
              <w:t xml:space="preserve">ето отговаря на изискванията на Възложителя, посочени в указанията и техническите спецификации, но предложението не е обвързано и съобразено с предмета на конкретната обществена поръчка и нуждите на Възложителя. </w:t>
            </w:r>
          </w:p>
          <w:p w:rsidR="00F12975" w:rsidRDefault="00F12975" w:rsidP="00096FCD">
            <w:pPr>
              <w:jc w:val="both"/>
              <w:rPr>
                <w:rFonts w:ascii="Times New Roman" w:hAnsi="Times New Roman" w:cs="Times New Roman"/>
                <w:lang w:val="bg-BG"/>
              </w:rPr>
            </w:pPr>
            <w:r>
              <w:rPr>
                <w:rFonts w:ascii="Times New Roman" w:hAnsi="Times New Roman" w:cs="Times New Roman"/>
                <w:lang w:val="bg-BG"/>
              </w:rPr>
              <w:t xml:space="preserve">Техническото предложение на участника преповтаря ТС на Възложителя и се ограничава до изброяване, без анализ на дейностите. Не са предложени мерки за подобряване на качеството. </w:t>
            </w:r>
          </w:p>
          <w:p w:rsidR="00F12975" w:rsidRDefault="00F12975" w:rsidP="00096FCD">
            <w:pPr>
              <w:jc w:val="both"/>
              <w:rPr>
                <w:rFonts w:ascii="Times New Roman" w:hAnsi="Times New Roman" w:cs="Times New Roman"/>
                <w:lang w:val="bg-BG"/>
              </w:rPr>
            </w:pPr>
            <w:r>
              <w:rPr>
                <w:rFonts w:ascii="Times New Roman" w:hAnsi="Times New Roman" w:cs="Times New Roman"/>
                <w:lang w:val="bg-BG"/>
              </w:rPr>
              <w:t xml:space="preserve">Подходът за изпълнение на дейностите, предложен от участника, не е обвързан с конкретната поръчка, не съдържа конкретен подход за изпълнение на дейностите и ясно описана последователност между тях, а преповтаря ТС и изискванията на възложителя, без да ги развива и обосновава допълнително. </w:t>
            </w:r>
          </w:p>
          <w:p w:rsidR="00F12975" w:rsidRDefault="00F12975" w:rsidP="00096FCD">
            <w:pPr>
              <w:jc w:val="both"/>
              <w:rPr>
                <w:rFonts w:ascii="Times New Roman" w:hAnsi="Times New Roman" w:cs="Times New Roman"/>
                <w:lang w:val="bg-BG"/>
              </w:rPr>
            </w:pPr>
            <w:r>
              <w:rPr>
                <w:rFonts w:ascii="Times New Roman" w:hAnsi="Times New Roman" w:cs="Times New Roman"/>
                <w:lang w:val="bg-BG"/>
              </w:rPr>
              <w:t>Участникът частично е описал видовете дейности, мерките и действията при изпълнение на поръчката, но същите са непоследователни, не са взаимообвързани и част от тях са изпуснати и/или хронологически разменени. Същите не са обвързани с качественото изпълнение на услугата и подобряване на качеството чрез изпълнение на дейността.</w:t>
            </w:r>
          </w:p>
          <w:p w:rsidR="00F12975" w:rsidRDefault="00F12975" w:rsidP="00096FCD">
            <w:pPr>
              <w:jc w:val="both"/>
              <w:rPr>
                <w:rFonts w:ascii="Times New Roman" w:hAnsi="Times New Roman" w:cs="Times New Roman"/>
                <w:lang w:val="bg-BG"/>
              </w:rPr>
            </w:pPr>
            <w:r>
              <w:rPr>
                <w:rFonts w:ascii="Times New Roman" w:hAnsi="Times New Roman" w:cs="Times New Roman"/>
                <w:lang w:val="bg-BG"/>
              </w:rPr>
              <w:t>В предложението на участника присъстват елементи на описание за недопускане на препълване на съдовете и/или замърсяване на прилежащите им територии, но същите са само изброени, без да са посочени ефективни мерки за недопускането, или описание на действията или друг анализ или предложението за конкретния елемент от ТП.</w:t>
            </w:r>
          </w:p>
          <w:p w:rsidR="00F12975" w:rsidRDefault="00F12975" w:rsidP="00096FCD">
            <w:pPr>
              <w:jc w:val="both"/>
              <w:rPr>
                <w:rFonts w:ascii="Times New Roman" w:hAnsi="Times New Roman" w:cs="Times New Roman"/>
                <w:lang w:val="bg-BG"/>
              </w:rPr>
            </w:pPr>
            <w:r>
              <w:rPr>
                <w:rFonts w:ascii="Times New Roman" w:hAnsi="Times New Roman" w:cs="Times New Roman"/>
                <w:lang w:val="bg-BG"/>
              </w:rPr>
              <w:t xml:space="preserve">  </w:t>
            </w:r>
          </w:p>
          <w:p w:rsidR="00F12975" w:rsidRDefault="00F12975" w:rsidP="00096FCD">
            <w:pPr>
              <w:jc w:val="both"/>
              <w:rPr>
                <w:rFonts w:ascii="Times New Roman" w:hAnsi="Times New Roman" w:cs="Times New Roman"/>
                <w:lang w:val="bg-BG"/>
              </w:rPr>
            </w:pPr>
          </w:p>
          <w:p w:rsidR="00F12975" w:rsidRDefault="00F12975" w:rsidP="00096FCD">
            <w:pPr>
              <w:jc w:val="both"/>
              <w:rPr>
                <w:rFonts w:ascii="Times New Roman" w:hAnsi="Times New Roman" w:cs="Times New Roman"/>
                <w:lang w:val="bg-BG"/>
              </w:rPr>
            </w:pPr>
            <w:r>
              <w:rPr>
                <w:rFonts w:ascii="Times New Roman" w:hAnsi="Times New Roman" w:cs="Times New Roman"/>
                <w:lang w:val="bg-BG"/>
              </w:rPr>
              <w:t>Представената от участника организация за изпълнение на отделните дейности и организация и мобилизация на използваните човешки ресурси присъства в предложението на участника, но липсва анализ, описание, преповтаря изискванията на ТС. В тази част на предложението е налице само изброяване или само графичен текст, без обосновка и пояснителни текстове, показващи разбиране и задълбочено познаване на дейността.</w:t>
            </w:r>
          </w:p>
          <w:p w:rsidR="00F12975" w:rsidRDefault="00F12975" w:rsidP="00096FCD">
            <w:pPr>
              <w:jc w:val="both"/>
              <w:rPr>
                <w:rFonts w:ascii="Times New Roman" w:hAnsi="Times New Roman" w:cs="Times New Roman"/>
                <w:lang w:val="bg-BG"/>
              </w:rPr>
            </w:pPr>
            <w:r>
              <w:rPr>
                <w:rFonts w:ascii="Times New Roman" w:hAnsi="Times New Roman" w:cs="Times New Roman"/>
                <w:lang w:val="bg-BG"/>
              </w:rPr>
              <w:t xml:space="preserve"> </w:t>
            </w:r>
          </w:p>
          <w:p w:rsidR="00F12975" w:rsidRDefault="00F12975" w:rsidP="00096FCD">
            <w:pPr>
              <w:jc w:val="both"/>
              <w:rPr>
                <w:rFonts w:ascii="Times New Roman" w:hAnsi="Times New Roman" w:cs="Times New Roman"/>
                <w:lang w:val="bg-BG"/>
              </w:rPr>
            </w:pPr>
            <w:r>
              <w:rPr>
                <w:rFonts w:ascii="Times New Roman" w:hAnsi="Times New Roman" w:cs="Times New Roman"/>
                <w:lang w:val="bg-BG"/>
              </w:rPr>
              <w:t>За предложението на участника може да се направи извод, че отговаря на основните изисквания на Възложителя и ТС, но не ги надгражда и не гарантира високо качество на предлаганата услуга, а само базово задоволяване на нуждите.</w:t>
            </w:r>
          </w:p>
        </w:tc>
        <w:tc>
          <w:tcPr>
            <w:tcW w:w="1150" w:type="dxa"/>
            <w:shd w:val="clear" w:color="auto" w:fill="FFFFFF"/>
          </w:tcPr>
          <w:p w:rsidR="00F12975" w:rsidRDefault="00F12975" w:rsidP="00B635AF">
            <w:pPr>
              <w:jc w:val="center"/>
              <w:rPr>
                <w:rFonts w:ascii="Times New Roman" w:hAnsi="Times New Roman" w:cs="Times New Roman"/>
                <w:b/>
                <w:bCs/>
                <w:lang w:val="en-US"/>
              </w:rPr>
            </w:pPr>
            <w:r>
              <w:rPr>
                <w:rFonts w:ascii="Times New Roman" w:hAnsi="Times New Roman" w:cs="Times New Roman"/>
                <w:b/>
                <w:bCs/>
                <w:lang w:val="bg-BG"/>
              </w:rPr>
              <w:t>1</w:t>
            </w:r>
            <w:r>
              <w:rPr>
                <w:rFonts w:ascii="Times New Roman" w:hAnsi="Times New Roman" w:cs="Times New Roman"/>
                <w:b/>
                <w:bCs/>
                <w:lang w:val="en-US"/>
              </w:rPr>
              <w:t>0</w:t>
            </w:r>
          </w:p>
        </w:tc>
      </w:tr>
    </w:tbl>
    <w:p w:rsidR="00F12975" w:rsidRDefault="00F12975">
      <w:pPr>
        <w:rPr>
          <w:lang w:val="en-US"/>
        </w:rPr>
      </w:pPr>
    </w:p>
    <w:p w:rsidR="00F12975" w:rsidRDefault="00F12975">
      <w:pPr>
        <w:rPr>
          <w:lang w:val="en-US"/>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293"/>
        <w:gridCol w:w="1252"/>
      </w:tblGrid>
      <w:tr w:rsidR="00F12975" w:rsidRPr="00A33FA0" w:rsidTr="004D7028">
        <w:trPr>
          <w:trHeight w:val="367"/>
          <w:jc w:val="center"/>
        </w:trPr>
        <w:tc>
          <w:tcPr>
            <w:tcW w:w="3964" w:type="dxa"/>
          </w:tcPr>
          <w:p w:rsidR="00F12975" w:rsidRPr="00A33FA0" w:rsidRDefault="00F12975" w:rsidP="00B635AF">
            <w:pPr>
              <w:rPr>
                <w:rFonts w:ascii="Times New Roman" w:hAnsi="Times New Roman" w:cs="Times New Roman"/>
                <w:b/>
                <w:bCs/>
                <w:lang w:val="bg-BG"/>
              </w:rPr>
            </w:pPr>
            <w:r w:rsidRPr="00A33FA0">
              <w:rPr>
                <w:rFonts w:ascii="Times New Roman" w:hAnsi="Times New Roman" w:cs="Times New Roman"/>
                <w:b/>
                <w:bCs/>
                <w:lang w:val="bg-BG"/>
              </w:rPr>
              <w:t>ИНДИКАТОР</w:t>
            </w:r>
            <w:r w:rsidRPr="00A33FA0">
              <w:rPr>
                <w:rFonts w:ascii="Times New Roman" w:hAnsi="Times New Roman" w:cs="Times New Roman"/>
                <w:b/>
                <w:bCs/>
                <w:lang w:val="en-US"/>
              </w:rPr>
              <w:t xml:space="preserve"> </w:t>
            </w:r>
            <w:r w:rsidRPr="00A33FA0">
              <w:rPr>
                <w:rFonts w:ascii="Times New Roman" w:hAnsi="Times New Roman" w:cs="Times New Roman"/>
                <w:b/>
                <w:bCs/>
                <w:lang w:val="bg-BG"/>
              </w:rPr>
              <w:t>Б</w:t>
            </w:r>
            <w:r>
              <w:rPr>
                <w:rFonts w:ascii="Times New Roman" w:hAnsi="Times New Roman" w:cs="Times New Roman"/>
                <w:b/>
                <w:bCs/>
                <w:lang w:val="bg-BG"/>
              </w:rPr>
              <w:t xml:space="preserve"> - </w:t>
            </w:r>
            <w:r w:rsidRPr="008A02D5">
              <w:rPr>
                <w:rFonts w:ascii="Times New Roman" w:hAnsi="Times New Roman" w:cs="Times New Roman"/>
                <w:b/>
                <w:bCs/>
                <w:lang w:val="bg-BG"/>
              </w:rPr>
              <w:t>подход и методология за провеждане на информационни кампании</w:t>
            </w:r>
          </w:p>
        </w:tc>
        <w:tc>
          <w:tcPr>
            <w:tcW w:w="4293" w:type="dxa"/>
          </w:tcPr>
          <w:p w:rsidR="00F12975" w:rsidRPr="00A33FA0" w:rsidRDefault="00F12975" w:rsidP="00B635AF">
            <w:pPr>
              <w:rPr>
                <w:rFonts w:ascii="Times New Roman" w:hAnsi="Times New Roman" w:cs="Times New Roman"/>
                <w:b/>
                <w:bCs/>
              </w:rPr>
            </w:pPr>
            <w:r w:rsidRPr="00A33FA0">
              <w:rPr>
                <w:rFonts w:ascii="Times New Roman" w:hAnsi="Times New Roman" w:cs="Times New Roman"/>
                <w:b/>
                <w:bCs/>
                <w:lang w:val="bg-BG"/>
              </w:rPr>
              <w:t>СТЕПЕН НА СЪОТВЕТСТВИЕ</w:t>
            </w:r>
          </w:p>
        </w:tc>
        <w:tc>
          <w:tcPr>
            <w:tcW w:w="1252" w:type="dxa"/>
          </w:tcPr>
          <w:p w:rsidR="00F12975" w:rsidRPr="00A33FA0" w:rsidRDefault="00F12975" w:rsidP="00B635AF">
            <w:pPr>
              <w:rPr>
                <w:rFonts w:ascii="Times New Roman" w:hAnsi="Times New Roman" w:cs="Times New Roman"/>
                <w:b/>
                <w:bCs/>
                <w:lang w:val="bg-BG"/>
              </w:rPr>
            </w:pPr>
            <w:r w:rsidRPr="00A33FA0">
              <w:rPr>
                <w:rFonts w:ascii="Times New Roman" w:hAnsi="Times New Roman" w:cs="Times New Roman"/>
                <w:b/>
                <w:bCs/>
                <w:lang w:val="bg-BG"/>
              </w:rPr>
              <w:t>Точки</w:t>
            </w:r>
          </w:p>
        </w:tc>
      </w:tr>
      <w:tr w:rsidR="00F12975" w:rsidRPr="00B14C58" w:rsidTr="00B14C58">
        <w:trPr>
          <w:trHeight w:val="367"/>
          <w:jc w:val="center"/>
        </w:trPr>
        <w:tc>
          <w:tcPr>
            <w:tcW w:w="9509" w:type="dxa"/>
            <w:gridSpan w:val="3"/>
            <w:shd w:val="clear" w:color="auto" w:fill="BDD6EE"/>
          </w:tcPr>
          <w:p w:rsidR="00F12975" w:rsidRPr="00B14C58" w:rsidRDefault="00F12975" w:rsidP="00B635AF">
            <w:pPr>
              <w:jc w:val="center"/>
              <w:rPr>
                <w:rFonts w:ascii="Times New Roman" w:hAnsi="Times New Roman" w:cs="Times New Roman"/>
                <w:bCs/>
                <w:lang w:val="bg-BG"/>
              </w:rPr>
            </w:pPr>
            <w:r w:rsidRPr="00B14C58">
              <w:rPr>
                <w:rFonts w:ascii="Times New Roman" w:hAnsi="Times New Roman" w:cs="Times New Roman"/>
                <w:bCs/>
                <w:lang w:val="bg-BG"/>
              </w:rPr>
              <w:t>Оценка на подхода и методологията за провеждане на информационни кампании</w:t>
            </w:r>
            <w:r w:rsidRPr="00B14C58">
              <w:rPr>
                <w:rFonts w:ascii="Times New Roman" w:hAnsi="Times New Roman" w:cs="Times New Roman"/>
                <w:bCs/>
              </w:rPr>
              <w:t>.</w:t>
            </w:r>
          </w:p>
        </w:tc>
      </w:tr>
      <w:tr w:rsidR="00F12975" w:rsidRPr="00A33FA0" w:rsidTr="00B14C58">
        <w:trPr>
          <w:trHeight w:val="367"/>
          <w:jc w:val="center"/>
        </w:trPr>
        <w:tc>
          <w:tcPr>
            <w:tcW w:w="8257" w:type="dxa"/>
            <w:gridSpan w:val="2"/>
          </w:tcPr>
          <w:p w:rsidR="00F12975" w:rsidRPr="00A33FA0" w:rsidRDefault="00F12975" w:rsidP="00BF1748">
            <w:pPr>
              <w:jc w:val="both"/>
              <w:rPr>
                <w:rFonts w:ascii="Times New Roman" w:hAnsi="Times New Roman" w:cs="Times New Roman"/>
                <w:b/>
                <w:bCs/>
                <w:lang w:val="bg-BG"/>
              </w:rPr>
            </w:pPr>
            <w:r>
              <w:rPr>
                <w:rFonts w:ascii="Times New Roman" w:hAnsi="Times New Roman" w:cs="Times New Roman"/>
                <w:lang w:val="bg-BG"/>
              </w:rPr>
              <w:t>Участникът е разработил и представил в предложението си подробно концепция за провеждане на информационните си кампании и начин/и за организирането им.</w:t>
            </w:r>
            <w:r>
              <w:rPr>
                <w:rFonts w:ascii="Times New Roman" w:hAnsi="Times New Roman" w:cs="Times New Roman"/>
                <w:lang w:val="en-US"/>
              </w:rPr>
              <w:t xml:space="preserve"> </w:t>
            </w:r>
            <w:r>
              <w:rPr>
                <w:rFonts w:ascii="Times New Roman" w:hAnsi="Times New Roman" w:cs="Times New Roman"/>
                <w:lang w:val="bg-BG"/>
              </w:rPr>
              <w:t>Същата е детайлна и обоснована.  П</w:t>
            </w:r>
            <w:r w:rsidRPr="00A33FA0">
              <w:rPr>
                <w:rFonts w:ascii="Times New Roman" w:hAnsi="Times New Roman" w:cs="Times New Roman"/>
                <w:lang w:val="bg-BG"/>
              </w:rPr>
              <w:t>редложения</w:t>
            </w:r>
            <w:r>
              <w:rPr>
                <w:rFonts w:ascii="Times New Roman" w:hAnsi="Times New Roman" w:cs="Times New Roman"/>
                <w:lang w:val="bg-BG"/>
              </w:rPr>
              <w:t>т</w:t>
            </w:r>
            <w:r w:rsidRPr="00A33FA0">
              <w:rPr>
                <w:rFonts w:ascii="Times New Roman" w:hAnsi="Times New Roman" w:cs="Times New Roman"/>
                <w:lang w:val="bg-BG"/>
              </w:rPr>
              <w:t xml:space="preserve"> подхо</w:t>
            </w:r>
            <w:r>
              <w:rPr>
                <w:rFonts w:ascii="Times New Roman" w:hAnsi="Times New Roman" w:cs="Times New Roman"/>
                <w:lang w:val="bg-BG"/>
              </w:rPr>
              <w:t>д и методология за изпълнение</w:t>
            </w:r>
            <w:r w:rsidRPr="00A33FA0">
              <w:rPr>
                <w:rFonts w:ascii="Times New Roman" w:hAnsi="Times New Roman" w:cs="Times New Roman"/>
                <w:lang w:val="bg-BG"/>
              </w:rPr>
              <w:t xml:space="preserve"> съответства</w:t>
            </w:r>
            <w:r>
              <w:rPr>
                <w:rFonts w:ascii="Times New Roman" w:hAnsi="Times New Roman" w:cs="Times New Roman"/>
                <w:lang w:val="bg-BG"/>
              </w:rPr>
              <w:t>т</w:t>
            </w:r>
            <w:r w:rsidRPr="00A33FA0">
              <w:rPr>
                <w:rFonts w:ascii="Times New Roman" w:hAnsi="Times New Roman" w:cs="Times New Roman"/>
                <w:lang w:val="bg-BG"/>
              </w:rPr>
              <w:t xml:space="preserve"> на техническата спе</w:t>
            </w:r>
            <w:r>
              <w:rPr>
                <w:rFonts w:ascii="Times New Roman" w:hAnsi="Times New Roman" w:cs="Times New Roman"/>
                <w:lang w:val="bg-BG"/>
              </w:rPr>
              <w:t>ц</w:t>
            </w:r>
            <w:r w:rsidRPr="00A33FA0">
              <w:rPr>
                <w:rFonts w:ascii="Times New Roman" w:hAnsi="Times New Roman" w:cs="Times New Roman"/>
                <w:lang w:val="bg-BG"/>
              </w:rPr>
              <w:t>ификация</w:t>
            </w:r>
            <w:r>
              <w:rPr>
                <w:rFonts w:ascii="Times New Roman" w:hAnsi="Times New Roman" w:cs="Times New Roman"/>
                <w:lang w:val="bg-BG"/>
              </w:rPr>
              <w:t xml:space="preserve"> и участникът е разработил изпълнението на дейностите по начин, от който става ясно, че ще бъде постигната висока информираност на обществеността за предоставяната услуга съгласно заложените цели и приоритети в „Програма за управление на отпадъците на Столична община“. Кампаниите обхващат населението на територията на обслужвания район към което са насочени, взети са предвид спецификите за района (като същите са описани и обосновани), съобразено е времето и периода на провеждане на кампаниите, със съответната информация за всеки сезон и конкретната целева група.  </w:t>
            </w:r>
            <w:r w:rsidRPr="00715354">
              <w:rPr>
                <w:rFonts w:ascii="Times New Roman" w:hAnsi="Times New Roman" w:cs="Times New Roman"/>
                <w:lang w:val="bg-BG"/>
              </w:rPr>
              <w:t xml:space="preserve"> Направен е подробен анализ и обосновка на целите</w:t>
            </w:r>
            <w:r>
              <w:rPr>
                <w:rFonts w:ascii="Times New Roman" w:hAnsi="Times New Roman" w:cs="Times New Roman"/>
                <w:lang w:val="bg-BG"/>
              </w:rPr>
              <w:t xml:space="preserve"> и на целевата аудитория,</w:t>
            </w:r>
            <w:r w:rsidRPr="00715354">
              <w:rPr>
                <w:rFonts w:ascii="Times New Roman" w:hAnsi="Times New Roman" w:cs="Times New Roman"/>
                <w:lang w:val="bg-BG"/>
              </w:rPr>
              <w:t xml:space="preserve"> до която</w:t>
            </w:r>
            <w:r>
              <w:rPr>
                <w:rFonts w:ascii="Times New Roman" w:hAnsi="Times New Roman" w:cs="Times New Roman"/>
                <w:lang w:val="en-US"/>
              </w:rPr>
              <w:t xml:space="preserve"> </w:t>
            </w:r>
            <w:r>
              <w:rPr>
                <w:rFonts w:ascii="Times New Roman" w:hAnsi="Times New Roman" w:cs="Times New Roman"/>
                <w:lang w:val="bg-BG"/>
              </w:rPr>
              <w:t xml:space="preserve">информационната </w:t>
            </w:r>
            <w:r w:rsidRPr="00715354">
              <w:rPr>
                <w:rFonts w:ascii="Times New Roman" w:hAnsi="Times New Roman" w:cs="Times New Roman"/>
                <w:lang w:val="bg-BG"/>
              </w:rPr>
              <w:t>кампания ще достигне</w:t>
            </w:r>
            <w:r>
              <w:rPr>
                <w:rFonts w:ascii="Times New Roman" w:hAnsi="Times New Roman" w:cs="Times New Roman"/>
                <w:lang w:val="bg-BG"/>
              </w:rPr>
              <w:t>.</w:t>
            </w:r>
          </w:p>
        </w:tc>
        <w:tc>
          <w:tcPr>
            <w:tcW w:w="1252" w:type="dxa"/>
          </w:tcPr>
          <w:p w:rsidR="00F12975" w:rsidRPr="00B14C58" w:rsidRDefault="00F12975" w:rsidP="00B14C58">
            <w:pPr>
              <w:jc w:val="center"/>
              <w:rPr>
                <w:rFonts w:ascii="Times New Roman" w:hAnsi="Times New Roman" w:cs="Times New Roman"/>
                <w:b/>
                <w:bCs/>
                <w:lang w:val="en-US"/>
              </w:rPr>
            </w:pPr>
            <w:r>
              <w:rPr>
                <w:rFonts w:ascii="Times New Roman" w:hAnsi="Times New Roman" w:cs="Times New Roman"/>
                <w:b/>
                <w:bCs/>
                <w:lang w:val="en-US"/>
              </w:rPr>
              <w:t>30</w:t>
            </w:r>
          </w:p>
        </w:tc>
      </w:tr>
      <w:tr w:rsidR="00F12975" w:rsidRPr="00A33FA0" w:rsidTr="00B14C58">
        <w:trPr>
          <w:trHeight w:val="367"/>
          <w:jc w:val="center"/>
        </w:trPr>
        <w:tc>
          <w:tcPr>
            <w:tcW w:w="9509" w:type="dxa"/>
            <w:gridSpan w:val="3"/>
            <w:shd w:val="clear" w:color="auto" w:fill="BDD6EE"/>
          </w:tcPr>
          <w:p w:rsidR="00F12975" w:rsidRPr="00A33FA0" w:rsidRDefault="00F12975" w:rsidP="00B635AF">
            <w:pPr>
              <w:rPr>
                <w:rFonts w:ascii="Times New Roman" w:hAnsi="Times New Roman" w:cs="Times New Roman"/>
                <w:b/>
                <w:bCs/>
                <w:lang w:val="bg-BG"/>
              </w:rPr>
            </w:pPr>
          </w:p>
        </w:tc>
      </w:tr>
      <w:tr w:rsidR="00F12975" w:rsidRPr="00A33FA0" w:rsidTr="00B14C58">
        <w:trPr>
          <w:trHeight w:val="367"/>
          <w:jc w:val="center"/>
        </w:trPr>
        <w:tc>
          <w:tcPr>
            <w:tcW w:w="8257" w:type="dxa"/>
            <w:gridSpan w:val="2"/>
          </w:tcPr>
          <w:p w:rsidR="00F12975" w:rsidRDefault="00F12975" w:rsidP="00B14C58">
            <w:pPr>
              <w:jc w:val="both"/>
              <w:rPr>
                <w:rFonts w:ascii="Times New Roman" w:hAnsi="Times New Roman" w:cs="Times New Roman"/>
                <w:lang w:val="en-GB"/>
              </w:rPr>
            </w:pPr>
            <w:r>
              <w:rPr>
                <w:rFonts w:ascii="Times New Roman" w:hAnsi="Times New Roman" w:cs="Times New Roman"/>
                <w:lang w:val="bg-BG"/>
              </w:rPr>
              <w:t xml:space="preserve">Участникът е разработил и представил в предложението си концепция за провеждане на информационните кампании и начин/и за организирането им, </w:t>
            </w:r>
            <w:r w:rsidRPr="00B14C58">
              <w:rPr>
                <w:rFonts w:ascii="Times New Roman" w:hAnsi="Times New Roman" w:cs="Times New Roman"/>
                <w:b/>
                <w:lang w:val="bg-BG"/>
              </w:rPr>
              <w:t>като за описанието е в сила едно от следните</w:t>
            </w:r>
            <w:r>
              <w:rPr>
                <w:rFonts w:ascii="Times New Roman" w:hAnsi="Times New Roman" w:cs="Times New Roman"/>
                <w:lang w:val="en-GB"/>
              </w:rPr>
              <w:t xml:space="preserve">: </w:t>
            </w:r>
          </w:p>
          <w:p w:rsidR="00F12975" w:rsidRDefault="00F12975" w:rsidP="00B14C58">
            <w:pPr>
              <w:jc w:val="both"/>
              <w:rPr>
                <w:rFonts w:ascii="Times New Roman" w:hAnsi="Times New Roman" w:cs="Times New Roman"/>
                <w:lang w:val="en-GB"/>
              </w:rPr>
            </w:pPr>
            <w:r>
              <w:rPr>
                <w:rFonts w:ascii="Times New Roman" w:hAnsi="Times New Roman" w:cs="Times New Roman"/>
                <w:lang w:val="en-GB"/>
              </w:rPr>
              <w:t xml:space="preserve">- </w:t>
            </w:r>
            <w:r>
              <w:rPr>
                <w:rFonts w:ascii="Times New Roman" w:hAnsi="Times New Roman" w:cs="Times New Roman"/>
                <w:lang w:val="bg-BG"/>
              </w:rPr>
              <w:t>липсва подробно обяснение на концепцията за провеждане на кампаниите</w:t>
            </w:r>
            <w:r>
              <w:rPr>
                <w:rFonts w:ascii="Times New Roman" w:hAnsi="Times New Roman" w:cs="Times New Roman"/>
                <w:lang w:val="en-GB"/>
              </w:rPr>
              <w:t>;</w:t>
            </w:r>
          </w:p>
          <w:p w:rsidR="00F12975" w:rsidRDefault="00F12975" w:rsidP="00B14C58">
            <w:pPr>
              <w:jc w:val="both"/>
              <w:rPr>
                <w:rFonts w:ascii="Times New Roman" w:hAnsi="Times New Roman" w:cs="Times New Roman"/>
                <w:lang w:val="en-GB"/>
              </w:rPr>
            </w:pPr>
            <w:r>
              <w:rPr>
                <w:rFonts w:ascii="Times New Roman" w:hAnsi="Times New Roman" w:cs="Times New Roman"/>
                <w:lang w:val="en-GB"/>
              </w:rPr>
              <w:t xml:space="preserve">- </w:t>
            </w:r>
            <w:r>
              <w:rPr>
                <w:rFonts w:ascii="Times New Roman" w:hAnsi="Times New Roman" w:cs="Times New Roman"/>
                <w:lang w:val="bg-BG"/>
              </w:rPr>
              <w:t>начинът/ите за организирането им не са детайлно и подробно описани</w:t>
            </w:r>
            <w:r>
              <w:rPr>
                <w:rFonts w:ascii="Times New Roman" w:hAnsi="Times New Roman" w:cs="Times New Roman"/>
                <w:lang w:val="en-GB"/>
              </w:rPr>
              <w:t>;</w:t>
            </w:r>
          </w:p>
          <w:p w:rsidR="00F12975" w:rsidRDefault="00F12975" w:rsidP="00B14C58">
            <w:pPr>
              <w:jc w:val="both"/>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lang w:val="bg-BG"/>
              </w:rPr>
              <w:t xml:space="preserve"> концепцията не е обоснована</w:t>
            </w:r>
            <w:r>
              <w:rPr>
                <w:rFonts w:ascii="Times New Roman" w:hAnsi="Times New Roman" w:cs="Times New Roman"/>
                <w:lang w:val="en-GB"/>
              </w:rPr>
              <w:t>.</w:t>
            </w:r>
          </w:p>
          <w:p w:rsidR="00F12975" w:rsidRDefault="00F12975" w:rsidP="00B14C58">
            <w:pPr>
              <w:jc w:val="both"/>
              <w:rPr>
                <w:rFonts w:ascii="Times New Roman" w:hAnsi="Times New Roman" w:cs="Times New Roman"/>
                <w:lang w:val="bg-BG"/>
              </w:rPr>
            </w:pPr>
            <w:r>
              <w:rPr>
                <w:rFonts w:ascii="Times New Roman" w:hAnsi="Times New Roman" w:cs="Times New Roman"/>
                <w:lang w:val="bg-BG"/>
              </w:rPr>
              <w:t>П</w:t>
            </w:r>
            <w:r w:rsidRPr="00A33FA0">
              <w:rPr>
                <w:rFonts w:ascii="Times New Roman" w:hAnsi="Times New Roman" w:cs="Times New Roman"/>
                <w:lang w:val="bg-BG"/>
              </w:rPr>
              <w:t>редложения</w:t>
            </w:r>
            <w:r>
              <w:rPr>
                <w:rFonts w:ascii="Times New Roman" w:hAnsi="Times New Roman" w:cs="Times New Roman"/>
                <w:lang w:val="bg-BG"/>
              </w:rPr>
              <w:t>т</w:t>
            </w:r>
            <w:r w:rsidRPr="00A33FA0">
              <w:rPr>
                <w:rFonts w:ascii="Times New Roman" w:hAnsi="Times New Roman" w:cs="Times New Roman"/>
                <w:lang w:val="bg-BG"/>
              </w:rPr>
              <w:t xml:space="preserve"> подход и методология за изпълнение съответства</w:t>
            </w:r>
            <w:r>
              <w:rPr>
                <w:rFonts w:ascii="Times New Roman" w:hAnsi="Times New Roman" w:cs="Times New Roman"/>
                <w:lang w:val="bg-BG"/>
              </w:rPr>
              <w:t>т</w:t>
            </w:r>
            <w:r w:rsidRPr="00A33FA0">
              <w:rPr>
                <w:rFonts w:ascii="Times New Roman" w:hAnsi="Times New Roman" w:cs="Times New Roman"/>
                <w:lang w:val="bg-BG"/>
              </w:rPr>
              <w:t xml:space="preserve"> на техническата спе</w:t>
            </w:r>
            <w:r>
              <w:rPr>
                <w:rFonts w:ascii="Times New Roman" w:hAnsi="Times New Roman" w:cs="Times New Roman"/>
                <w:lang w:val="bg-BG"/>
              </w:rPr>
              <w:t>ц</w:t>
            </w:r>
            <w:r w:rsidRPr="00A33FA0">
              <w:rPr>
                <w:rFonts w:ascii="Times New Roman" w:hAnsi="Times New Roman" w:cs="Times New Roman"/>
                <w:lang w:val="bg-BG"/>
              </w:rPr>
              <w:t>ификация</w:t>
            </w:r>
            <w:r>
              <w:rPr>
                <w:rFonts w:ascii="Times New Roman" w:hAnsi="Times New Roman" w:cs="Times New Roman"/>
                <w:lang w:val="bg-BG"/>
              </w:rPr>
              <w:t xml:space="preserve"> и участникът е разработил изпълнението на дейностите по начин, от който става ясно, че ще бъде постигната частична информираност на обществеността за предоставяната услуга.</w:t>
            </w:r>
          </w:p>
          <w:p w:rsidR="00F12975" w:rsidRPr="00B14C58" w:rsidRDefault="00F12975" w:rsidP="00B14C58">
            <w:pPr>
              <w:jc w:val="both"/>
              <w:rPr>
                <w:rFonts w:ascii="Times New Roman" w:hAnsi="Times New Roman" w:cs="Times New Roman"/>
                <w:b/>
                <w:lang w:val="bg-BG"/>
              </w:rPr>
            </w:pPr>
            <w:r w:rsidRPr="00B14C58">
              <w:rPr>
                <w:rFonts w:ascii="Times New Roman" w:hAnsi="Times New Roman" w:cs="Times New Roman"/>
                <w:b/>
                <w:lang w:val="bg-BG"/>
              </w:rPr>
              <w:t>За предложените кампании е в сила едно от следните</w:t>
            </w:r>
            <w:r w:rsidRPr="00B14C58">
              <w:rPr>
                <w:rFonts w:ascii="Times New Roman" w:hAnsi="Times New Roman" w:cs="Times New Roman"/>
                <w:b/>
                <w:lang w:val="en-GB"/>
              </w:rPr>
              <w:t xml:space="preserve"> </w:t>
            </w:r>
            <w:r w:rsidRPr="00B14C58">
              <w:rPr>
                <w:rFonts w:ascii="Times New Roman" w:hAnsi="Times New Roman" w:cs="Times New Roman"/>
                <w:b/>
                <w:lang w:val="bg-BG"/>
              </w:rPr>
              <w:t xml:space="preserve">твърдения: </w:t>
            </w:r>
          </w:p>
          <w:p w:rsidR="00F12975" w:rsidRDefault="00F12975" w:rsidP="00B14C58">
            <w:pPr>
              <w:jc w:val="both"/>
              <w:rPr>
                <w:rFonts w:ascii="Times New Roman" w:hAnsi="Times New Roman" w:cs="Times New Roman"/>
                <w:lang w:val="bg-BG"/>
              </w:rPr>
            </w:pPr>
            <w:r>
              <w:rPr>
                <w:rFonts w:ascii="Times New Roman" w:hAnsi="Times New Roman" w:cs="Times New Roman"/>
                <w:lang w:val="bg-BG"/>
              </w:rPr>
              <w:t>- кампаниите не са насочени и/или не обхващат  населението на територията на обслужвания район;</w:t>
            </w:r>
          </w:p>
          <w:p w:rsidR="00F12975" w:rsidRDefault="00F12975" w:rsidP="00B14C58">
            <w:pPr>
              <w:jc w:val="both"/>
              <w:rPr>
                <w:rFonts w:ascii="Times New Roman" w:hAnsi="Times New Roman" w:cs="Times New Roman"/>
                <w:lang w:val="bg-BG"/>
              </w:rPr>
            </w:pPr>
            <w:r>
              <w:rPr>
                <w:rFonts w:ascii="Times New Roman" w:hAnsi="Times New Roman" w:cs="Times New Roman"/>
                <w:lang w:val="bg-BG"/>
              </w:rPr>
              <w:t>- не са взети предвид спецификите на района или същите не са описани или обосновани;</w:t>
            </w:r>
          </w:p>
          <w:p w:rsidR="00F12975" w:rsidRDefault="00F12975" w:rsidP="00B14C58">
            <w:pPr>
              <w:jc w:val="both"/>
              <w:rPr>
                <w:rFonts w:ascii="Times New Roman" w:hAnsi="Times New Roman" w:cs="Times New Roman"/>
                <w:lang w:val="bg-BG"/>
              </w:rPr>
            </w:pPr>
            <w:r>
              <w:rPr>
                <w:rFonts w:ascii="Times New Roman" w:hAnsi="Times New Roman" w:cs="Times New Roman"/>
                <w:lang w:val="bg-BG"/>
              </w:rPr>
              <w:t>- времето и периода на провеждане на кампаниите не е съобразен с целевата група;</w:t>
            </w:r>
          </w:p>
          <w:p w:rsidR="00F12975" w:rsidRDefault="00F12975" w:rsidP="00B14C58">
            <w:pPr>
              <w:jc w:val="both"/>
              <w:rPr>
                <w:rFonts w:ascii="Times New Roman" w:hAnsi="Times New Roman" w:cs="Times New Roman"/>
                <w:lang w:val="bg-BG"/>
              </w:rPr>
            </w:pPr>
            <w:r>
              <w:rPr>
                <w:rFonts w:ascii="Times New Roman" w:hAnsi="Times New Roman" w:cs="Times New Roman"/>
                <w:lang w:val="bg-BG"/>
              </w:rPr>
              <w:t xml:space="preserve">- не е направено разграничение между представената информация за всеки сезон или същата е формално представена. </w:t>
            </w:r>
          </w:p>
          <w:p w:rsidR="00F12975" w:rsidRPr="00A33FA0" w:rsidRDefault="00F12975" w:rsidP="00B14C58">
            <w:pPr>
              <w:rPr>
                <w:rFonts w:ascii="Times New Roman" w:hAnsi="Times New Roman" w:cs="Times New Roman"/>
                <w:b/>
                <w:bCs/>
                <w:lang w:val="bg-BG"/>
              </w:rPr>
            </w:pPr>
            <w:r>
              <w:rPr>
                <w:rFonts w:ascii="Times New Roman" w:hAnsi="Times New Roman" w:cs="Times New Roman"/>
                <w:lang w:val="bg-BG"/>
              </w:rPr>
              <w:t>В предложението на участника е посочена целевата аудитория, до която кампанията ще достигне, но аудиторията не е анализирана и обоснована.</w:t>
            </w:r>
          </w:p>
        </w:tc>
        <w:tc>
          <w:tcPr>
            <w:tcW w:w="1252" w:type="dxa"/>
          </w:tcPr>
          <w:p w:rsidR="00F12975" w:rsidRPr="00B14C58" w:rsidRDefault="00F12975" w:rsidP="00B14C58">
            <w:pPr>
              <w:jc w:val="center"/>
              <w:rPr>
                <w:rFonts w:ascii="Times New Roman" w:hAnsi="Times New Roman" w:cs="Times New Roman"/>
                <w:b/>
                <w:bCs/>
                <w:lang w:val="en-US"/>
              </w:rPr>
            </w:pPr>
            <w:r>
              <w:rPr>
                <w:rFonts w:ascii="Times New Roman" w:hAnsi="Times New Roman" w:cs="Times New Roman"/>
                <w:b/>
                <w:bCs/>
                <w:lang w:val="en-US"/>
              </w:rPr>
              <w:t>15</w:t>
            </w:r>
          </w:p>
        </w:tc>
      </w:tr>
      <w:tr w:rsidR="00F12975" w:rsidRPr="00A33FA0" w:rsidTr="00B14C58">
        <w:trPr>
          <w:trHeight w:val="367"/>
          <w:jc w:val="center"/>
        </w:trPr>
        <w:tc>
          <w:tcPr>
            <w:tcW w:w="9509" w:type="dxa"/>
            <w:gridSpan w:val="3"/>
            <w:shd w:val="clear" w:color="auto" w:fill="BDD6EE"/>
          </w:tcPr>
          <w:p w:rsidR="00F12975" w:rsidRPr="00A33FA0" w:rsidRDefault="00F12975" w:rsidP="00B635AF">
            <w:pPr>
              <w:rPr>
                <w:rFonts w:ascii="Times New Roman" w:hAnsi="Times New Roman" w:cs="Times New Roman"/>
                <w:b/>
                <w:bCs/>
                <w:lang w:val="bg-BG"/>
              </w:rPr>
            </w:pPr>
          </w:p>
        </w:tc>
      </w:tr>
      <w:tr w:rsidR="00F12975" w:rsidRPr="00A33FA0" w:rsidTr="00B14C58">
        <w:trPr>
          <w:trHeight w:val="367"/>
          <w:jc w:val="center"/>
        </w:trPr>
        <w:tc>
          <w:tcPr>
            <w:tcW w:w="8257" w:type="dxa"/>
            <w:gridSpan w:val="2"/>
          </w:tcPr>
          <w:p w:rsidR="00F12975" w:rsidRDefault="00F12975" w:rsidP="00B14C58">
            <w:pPr>
              <w:jc w:val="both"/>
              <w:rPr>
                <w:rFonts w:ascii="Times New Roman" w:hAnsi="Times New Roman" w:cs="Times New Roman"/>
                <w:lang w:val="bg-BG"/>
              </w:rPr>
            </w:pPr>
            <w:r>
              <w:rPr>
                <w:rFonts w:ascii="Times New Roman" w:hAnsi="Times New Roman" w:cs="Times New Roman"/>
                <w:lang w:val="bg-BG"/>
              </w:rPr>
              <w:t xml:space="preserve">Участникът е разработил и представил в предложението си концепция за провеждане на информационните кампании и начин/и за организирането им, </w:t>
            </w:r>
            <w:r w:rsidRPr="00B14C58">
              <w:rPr>
                <w:rFonts w:ascii="Times New Roman" w:hAnsi="Times New Roman" w:cs="Times New Roman"/>
                <w:b/>
                <w:lang w:val="bg-BG"/>
              </w:rPr>
              <w:t>като за описанието са в сила две или повече от следните:</w:t>
            </w:r>
          </w:p>
          <w:p w:rsidR="00F12975" w:rsidRDefault="00F12975" w:rsidP="00B14C58">
            <w:pPr>
              <w:jc w:val="both"/>
              <w:rPr>
                <w:rFonts w:ascii="Times New Roman" w:hAnsi="Times New Roman" w:cs="Times New Roman"/>
                <w:lang w:val="bg-BG"/>
              </w:rPr>
            </w:pPr>
            <w:r>
              <w:rPr>
                <w:rFonts w:ascii="Times New Roman" w:hAnsi="Times New Roman" w:cs="Times New Roman"/>
                <w:lang w:val="bg-BG"/>
              </w:rPr>
              <w:t>- липсва подробно обяснение на концепцията за провеждане на кампаниите;</w:t>
            </w:r>
          </w:p>
          <w:p w:rsidR="00F12975" w:rsidRDefault="00F12975" w:rsidP="00B14C58">
            <w:pPr>
              <w:jc w:val="both"/>
              <w:rPr>
                <w:rFonts w:ascii="Times New Roman" w:hAnsi="Times New Roman" w:cs="Times New Roman"/>
                <w:lang w:val="bg-BG"/>
              </w:rPr>
            </w:pPr>
            <w:r>
              <w:rPr>
                <w:rFonts w:ascii="Times New Roman" w:hAnsi="Times New Roman" w:cs="Times New Roman"/>
                <w:lang w:val="bg-BG"/>
              </w:rPr>
              <w:t>- начинът/ите за организирането им не са детайлно и подробно описани;</w:t>
            </w:r>
          </w:p>
          <w:p w:rsidR="00F12975" w:rsidRDefault="00F12975" w:rsidP="00B14C58">
            <w:pPr>
              <w:jc w:val="both"/>
              <w:rPr>
                <w:rFonts w:ascii="Times New Roman" w:hAnsi="Times New Roman" w:cs="Times New Roman"/>
                <w:lang w:val="bg-BG"/>
              </w:rPr>
            </w:pPr>
            <w:r>
              <w:rPr>
                <w:rFonts w:ascii="Times New Roman" w:hAnsi="Times New Roman" w:cs="Times New Roman"/>
                <w:lang w:val="bg-BG"/>
              </w:rPr>
              <w:t>- концепцията не е обоснована.</w:t>
            </w:r>
          </w:p>
          <w:p w:rsidR="00F12975" w:rsidRDefault="00F12975" w:rsidP="00B14C58">
            <w:pPr>
              <w:jc w:val="both"/>
              <w:rPr>
                <w:rFonts w:ascii="Times New Roman" w:hAnsi="Times New Roman" w:cs="Times New Roman"/>
                <w:lang w:val="bg-BG"/>
              </w:rPr>
            </w:pPr>
            <w:r>
              <w:rPr>
                <w:rFonts w:ascii="Times New Roman" w:hAnsi="Times New Roman" w:cs="Times New Roman"/>
                <w:lang w:val="bg-BG"/>
              </w:rPr>
              <w:t>В предложението си участникът е посочил подход и методология за изпълнение, но същите са формално разработени (присъстват в предложението, но са изброени без поясняващи текстове или яснота в изложението), начинът на представяне на информацията не показва последващо високо качество на изпълнение на дейностите, като е налице съществен риск от ниска информираност на целевата група и риск от непостигане на  заложените цели и приоритети в „Програма за управление на отпадъците на Столична община“.</w:t>
            </w:r>
          </w:p>
          <w:p w:rsidR="00F12975" w:rsidRPr="00B14C58" w:rsidRDefault="00F12975" w:rsidP="00B14C58">
            <w:pPr>
              <w:jc w:val="both"/>
              <w:rPr>
                <w:rFonts w:ascii="Times New Roman" w:hAnsi="Times New Roman" w:cs="Times New Roman"/>
                <w:b/>
                <w:lang w:val="bg-BG"/>
              </w:rPr>
            </w:pPr>
            <w:r w:rsidRPr="00B14C58">
              <w:rPr>
                <w:rFonts w:ascii="Times New Roman" w:hAnsi="Times New Roman" w:cs="Times New Roman"/>
                <w:b/>
                <w:lang w:val="bg-BG"/>
              </w:rPr>
              <w:t xml:space="preserve">За предложените кампании са в сила две или повече от следните твърдения: </w:t>
            </w:r>
          </w:p>
          <w:p w:rsidR="00F12975" w:rsidRDefault="00F12975" w:rsidP="00B14C58">
            <w:pPr>
              <w:jc w:val="both"/>
              <w:rPr>
                <w:rFonts w:ascii="Times New Roman" w:hAnsi="Times New Roman" w:cs="Times New Roman"/>
                <w:lang w:val="bg-BG"/>
              </w:rPr>
            </w:pPr>
            <w:r>
              <w:rPr>
                <w:rFonts w:ascii="Times New Roman" w:hAnsi="Times New Roman" w:cs="Times New Roman"/>
                <w:lang w:val="bg-BG"/>
              </w:rPr>
              <w:t>- кампаниите не са насочени и/или не обхващат  населението на територията на обслужвания район, към което са насочени;</w:t>
            </w:r>
          </w:p>
          <w:p w:rsidR="00F12975" w:rsidRDefault="00F12975" w:rsidP="00B14C58">
            <w:pPr>
              <w:jc w:val="both"/>
              <w:rPr>
                <w:rFonts w:ascii="Times New Roman" w:hAnsi="Times New Roman" w:cs="Times New Roman"/>
                <w:lang w:val="bg-BG"/>
              </w:rPr>
            </w:pPr>
            <w:r>
              <w:rPr>
                <w:rFonts w:ascii="Times New Roman" w:hAnsi="Times New Roman" w:cs="Times New Roman"/>
                <w:lang w:val="bg-BG"/>
              </w:rPr>
              <w:t>- не са взети предвид спецификите на района или същите не са описани или обосновани;</w:t>
            </w:r>
          </w:p>
          <w:p w:rsidR="00F12975" w:rsidRDefault="00F12975" w:rsidP="00B14C58">
            <w:pPr>
              <w:jc w:val="both"/>
              <w:rPr>
                <w:rFonts w:ascii="Times New Roman" w:hAnsi="Times New Roman" w:cs="Times New Roman"/>
                <w:lang w:val="bg-BG"/>
              </w:rPr>
            </w:pPr>
            <w:r>
              <w:rPr>
                <w:rFonts w:ascii="Times New Roman" w:hAnsi="Times New Roman" w:cs="Times New Roman"/>
                <w:lang w:val="bg-BG"/>
              </w:rPr>
              <w:t>- времето и периода на провеждане на кампаниите не е съобразен с целевата група;</w:t>
            </w:r>
          </w:p>
          <w:p w:rsidR="00F12975" w:rsidRDefault="00F12975" w:rsidP="00B14C58">
            <w:pPr>
              <w:jc w:val="both"/>
              <w:rPr>
                <w:rFonts w:ascii="Times New Roman" w:hAnsi="Times New Roman" w:cs="Times New Roman"/>
                <w:lang w:val="bg-BG"/>
              </w:rPr>
            </w:pPr>
            <w:r>
              <w:rPr>
                <w:rFonts w:ascii="Times New Roman" w:hAnsi="Times New Roman" w:cs="Times New Roman"/>
                <w:lang w:val="bg-BG"/>
              </w:rPr>
              <w:t xml:space="preserve">- не е направено разграничение между представената информация за всеки сезон или същата е формално представена. </w:t>
            </w:r>
          </w:p>
          <w:p w:rsidR="00F12975" w:rsidRPr="00B14C58" w:rsidRDefault="00F12975" w:rsidP="00B14C58">
            <w:pPr>
              <w:rPr>
                <w:rFonts w:ascii="Times New Roman" w:hAnsi="Times New Roman" w:cs="Times New Roman"/>
                <w:bCs/>
                <w:lang w:val="bg-BG"/>
              </w:rPr>
            </w:pPr>
            <w:r>
              <w:rPr>
                <w:rFonts w:ascii="Times New Roman" w:hAnsi="Times New Roman" w:cs="Times New Roman"/>
                <w:lang w:val="bg-BG"/>
              </w:rPr>
              <w:t>Участникът е посочил целевата аудитория, до която кампанията ще достигне, но аудиторията не отговаря на спецификата на поръчката.</w:t>
            </w:r>
          </w:p>
        </w:tc>
        <w:tc>
          <w:tcPr>
            <w:tcW w:w="1252" w:type="dxa"/>
          </w:tcPr>
          <w:p w:rsidR="00F12975" w:rsidRPr="00B14C58" w:rsidRDefault="00F12975" w:rsidP="00B14C58">
            <w:pPr>
              <w:jc w:val="center"/>
              <w:rPr>
                <w:rFonts w:ascii="Times New Roman" w:hAnsi="Times New Roman" w:cs="Times New Roman"/>
                <w:b/>
                <w:bCs/>
                <w:lang w:val="en-US"/>
              </w:rPr>
            </w:pPr>
            <w:r>
              <w:rPr>
                <w:rFonts w:ascii="Times New Roman" w:hAnsi="Times New Roman" w:cs="Times New Roman"/>
                <w:b/>
                <w:bCs/>
                <w:lang w:val="en-US"/>
              </w:rPr>
              <w:t>5</w:t>
            </w:r>
          </w:p>
        </w:tc>
      </w:tr>
    </w:tbl>
    <w:p w:rsidR="00F12975" w:rsidRPr="00B14C58" w:rsidRDefault="00F12975">
      <w:pPr>
        <w:rPr>
          <w:b/>
          <w:lang w:val="en-US"/>
        </w:rPr>
      </w:pPr>
    </w:p>
    <w:p w:rsidR="00F12975" w:rsidRDefault="00F12975" w:rsidP="00F514F4">
      <w:pPr>
        <w:jc w:val="both"/>
        <w:rPr>
          <w:rFonts w:ascii="Times New Roman" w:hAnsi="Times New Roman" w:cs="Times New Roman"/>
          <w:lang w:val="bg-BG"/>
        </w:rPr>
      </w:pPr>
      <w:r w:rsidRPr="00F514F4">
        <w:rPr>
          <w:rFonts w:ascii="Times New Roman" w:hAnsi="Times New Roman" w:cs="Times New Roman"/>
          <w:lang w:val="bg-BG"/>
        </w:rPr>
        <w:t xml:space="preserve">За целите на настоящата методика следните изрази ще се тълкуват от комисията, както следва: </w:t>
      </w:r>
    </w:p>
    <w:p w:rsidR="00F12975" w:rsidRPr="00F514F4" w:rsidRDefault="00F12975" w:rsidP="00F514F4">
      <w:pPr>
        <w:jc w:val="both"/>
        <w:rPr>
          <w:rFonts w:ascii="Times New Roman" w:hAnsi="Times New Roman" w:cs="Times New Roman"/>
          <w:lang w:val="en-US"/>
        </w:rPr>
      </w:pPr>
    </w:p>
    <w:p w:rsidR="00F12975" w:rsidRPr="00DF0AAC" w:rsidRDefault="00F12975" w:rsidP="00DF0AAC">
      <w:pPr>
        <w:tabs>
          <w:tab w:val="left" w:pos="142"/>
        </w:tabs>
        <w:ind w:left="-284" w:firstLine="284"/>
        <w:jc w:val="both"/>
        <w:rPr>
          <w:rFonts w:ascii="Times New Roman" w:hAnsi="Times New Roman"/>
          <w:bCs/>
          <w:iCs/>
          <w:lang w:val="bg-BG"/>
        </w:rPr>
      </w:pPr>
      <w:r w:rsidRPr="00DF0AAC">
        <w:rPr>
          <w:rFonts w:ascii="Times New Roman" w:hAnsi="Times New Roman"/>
          <w:b/>
          <w:bCs/>
          <w:iCs/>
          <w:u w:val="single"/>
          <w:lang w:val="bg-BG"/>
        </w:rPr>
        <w:t xml:space="preserve"> „Подробно“ - </w:t>
      </w:r>
      <w:r w:rsidRPr="00DF0AAC">
        <w:rPr>
          <w:rFonts w:ascii="Times New Roman" w:hAnsi="Times New Roman"/>
          <w:bCs/>
          <w:iCs/>
          <w:lang w:val="bg-BG"/>
        </w:rPr>
        <w:t>описанието, което освен, че е детайлно и изчерпателно и съдържа отделни етапи, видове дейности и процеси, не се ограничава единствено до тяхното просто изброяване и описание, а са добавени допълнителни поясняващи текстове, свързани с обясняване на последователността, съдържанието на отделните документи или други дейности и процеси, имащи отношение към повишаване качеството на изпълнение на поръчката и надграждане над предвидените технически спецификации и изисквания;</w:t>
      </w:r>
    </w:p>
    <w:p w:rsidR="00F12975" w:rsidRDefault="00F12975" w:rsidP="00F514F4">
      <w:pPr>
        <w:tabs>
          <w:tab w:val="left" w:pos="142"/>
        </w:tabs>
        <w:ind w:left="-284" w:firstLine="284"/>
        <w:jc w:val="both"/>
        <w:rPr>
          <w:rFonts w:ascii="Times New Roman" w:hAnsi="Times New Roman"/>
          <w:b/>
          <w:bCs/>
          <w:iCs/>
          <w:lang w:val="bg-BG"/>
        </w:rPr>
      </w:pPr>
    </w:p>
    <w:p w:rsidR="00F12975" w:rsidRPr="00DF0AAC" w:rsidRDefault="00F12975" w:rsidP="00DF0AAC">
      <w:pPr>
        <w:jc w:val="both"/>
        <w:rPr>
          <w:rFonts w:ascii="Times New Roman" w:hAnsi="Times New Roman" w:cs="Times New Roman"/>
          <w:b/>
          <w:lang w:val="bg-BG"/>
        </w:rPr>
      </w:pPr>
      <w:r>
        <w:rPr>
          <w:rFonts w:ascii="Times New Roman" w:hAnsi="Times New Roman" w:cs="Times New Roman"/>
          <w:b/>
          <w:u w:val="single"/>
          <w:lang w:val="bg-BG"/>
        </w:rPr>
        <w:t>„Детайлно/</w:t>
      </w:r>
      <w:r w:rsidRPr="00DF0AAC">
        <w:rPr>
          <w:rFonts w:ascii="Times New Roman" w:hAnsi="Times New Roman" w:cs="Times New Roman"/>
          <w:b/>
          <w:u w:val="single"/>
          <w:lang w:val="bg-BG"/>
        </w:rPr>
        <w:t>Обосновано</w:t>
      </w:r>
      <w:r>
        <w:rPr>
          <w:rFonts w:ascii="Times New Roman" w:hAnsi="Times New Roman" w:cs="Times New Roman"/>
          <w:b/>
          <w:u w:val="single"/>
          <w:lang w:val="bg-BG"/>
        </w:rPr>
        <w:t>“</w:t>
      </w:r>
      <w:r w:rsidRPr="00DF0AAC">
        <w:rPr>
          <w:rFonts w:ascii="Times New Roman" w:hAnsi="Times New Roman" w:cs="Times New Roman"/>
          <w:b/>
          <w:i/>
          <w:lang w:val="bg-BG"/>
        </w:rPr>
        <w:t xml:space="preserve"> - </w:t>
      </w:r>
      <w:r w:rsidRPr="00DF0AAC">
        <w:rPr>
          <w:rFonts w:ascii="Times New Roman" w:hAnsi="Times New Roman" w:cs="Times New Roman"/>
          <w:lang w:val="bg-BG"/>
        </w:rPr>
        <w:t>описанието, което освен, че е ясно и логически правилно, не се ограничава единствено до изброяване и описание на мерки, дейности по мониторинг и дейности по контрол, а са добавени и допълнителни факти и обстоятелства, свързани с обясняване на предложените мерки 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F12975" w:rsidRDefault="00F12975" w:rsidP="00F514F4">
      <w:pPr>
        <w:rPr>
          <w:rStyle w:val="Heading12"/>
          <w:rFonts w:cs="Times New Roman"/>
          <w:b/>
          <w:lang w:val="bg-BG"/>
        </w:rPr>
      </w:pPr>
    </w:p>
    <w:p w:rsidR="00F12975" w:rsidRDefault="00F12975" w:rsidP="00DF0AAC">
      <w:pPr>
        <w:tabs>
          <w:tab w:val="left" w:pos="142"/>
        </w:tabs>
        <w:ind w:left="-284" w:firstLine="284"/>
        <w:jc w:val="both"/>
        <w:rPr>
          <w:rFonts w:ascii="Times New Roman" w:hAnsi="Times New Roman" w:cs="Times New Roman"/>
          <w:lang w:val="bg-BG"/>
        </w:rPr>
      </w:pPr>
      <w:r w:rsidRPr="00DF0AAC">
        <w:rPr>
          <w:rFonts w:ascii="Times New Roman" w:hAnsi="Times New Roman" w:cs="Times New Roman"/>
          <w:b/>
          <w:u w:val="single"/>
          <w:lang w:val="bg-BG"/>
        </w:rPr>
        <w:t>„Формално“</w:t>
      </w:r>
      <w:r w:rsidRPr="009F7256">
        <w:rPr>
          <w:rFonts w:ascii="Times New Roman" w:hAnsi="Times New Roman" w:cs="Times New Roman"/>
          <w:lang w:val="bg-BG"/>
        </w:rPr>
        <w:t xml:space="preserve"> – </w:t>
      </w:r>
      <w:r w:rsidRPr="00627431">
        <w:rPr>
          <w:rFonts w:ascii="Times New Roman" w:hAnsi="Times New Roman" w:cs="Times New Roman"/>
          <w:lang w:val="bg-BG"/>
        </w:rPr>
        <w:t xml:space="preserve">описание, в което </w:t>
      </w:r>
      <w:r>
        <w:rPr>
          <w:rFonts w:ascii="Times New Roman" w:hAnsi="Times New Roman" w:cs="Times New Roman"/>
          <w:lang w:val="bg-BG"/>
        </w:rPr>
        <w:t xml:space="preserve">участникът е повторил самите изисквания в техническите спецификации и/или декларативно е заявил, че ще ги изпълни без да мотивира своя избор на конкретно решение и/или методика за изпълнение на конкретните дейности и услуги. Формално е </w:t>
      </w:r>
      <w:r w:rsidRPr="00456DD0">
        <w:rPr>
          <w:rFonts w:ascii="Times New Roman" w:hAnsi="Times New Roman" w:cs="Times New Roman"/>
        </w:rPr>
        <w:t>„повърхностен</w:t>
      </w:r>
      <w:r>
        <w:rPr>
          <w:rFonts w:ascii="Times New Roman" w:hAnsi="Times New Roman" w:cs="Times New Roman"/>
          <w:lang w:val="bg-BG"/>
        </w:rPr>
        <w:t>о</w:t>
      </w:r>
      <w:r w:rsidRPr="00456DD0">
        <w:rPr>
          <w:rFonts w:ascii="Times New Roman" w:hAnsi="Times New Roman" w:cs="Times New Roman"/>
        </w:rPr>
        <w:t>, незадълбочен</w:t>
      </w:r>
      <w:r>
        <w:rPr>
          <w:rFonts w:ascii="Times New Roman" w:hAnsi="Times New Roman" w:cs="Times New Roman"/>
          <w:lang w:val="bg-BG"/>
        </w:rPr>
        <w:t>о</w:t>
      </w:r>
      <w:r w:rsidRPr="00456DD0">
        <w:rPr>
          <w:rFonts w:ascii="Times New Roman" w:hAnsi="Times New Roman" w:cs="Times New Roman"/>
        </w:rPr>
        <w:t>“</w:t>
      </w:r>
      <w:r>
        <w:rPr>
          <w:rFonts w:ascii="Times New Roman" w:hAnsi="Times New Roman" w:cs="Times New Roman"/>
          <w:lang w:val="bg-BG"/>
        </w:rPr>
        <w:t>;</w:t>
      </w:r>
    </w:p>
    <w:p w:rsidR="00F12975" w:rsidRDefault="00F12975" w:rsidP="00F514F4">
      <w:pPr>
        <w:tabs>
          <w:tab w:val="left" w:pos="142"/>
        </w:tabs>
        <w:ind w:left="-284" w:firstLine="284"/>
        <w:jc w:val="both"/>
        <w:rPr>
          <w:rFonts w:ascii="Times New Roman" w:hAnsi="Times New Roman" w:cs="Times New Roman"/>
          <w:lang w:val="bg-BG"/>
        </w:rPr>
      </w:pPr>
    </w:p>
    <w:p w:rsidR="00F12975" w:rsidRPr="00DF0AAC" w:rsidRDefault="00F12975" w:rsidP="00F514F4">
      <w:pPr>
        <w:tabs>
          <w:tab w:val="left" w:pos="142"/>
        </w:tabs>
        <w:ind w:left="-284" w:firstLine="284"/>
        <w:jc w:val="both"/>
        <w:rPr>
          <w:rFonts w:ascii="Times New Roman" w:hAnsi="Times New Roman" w:cs="Times New Roman"/>
          <w:lang w:val="bg-BG"/>
        </w:rPr>
      </w:pPr>
    </w:p>
    <w:p w:rsidR="00F12975" w:rsidRDefault="00F12975" w:rsidP="006F68D1">
      <w:pPr>
        <w:jc w:val="both"/>
        <w:rPr>
          <w:rStyle w:val="Heading12"/>
          <w:rFonts w:cs="Times New Roman"/>
          <w:b/>
          <w:lang w:val="bg-BG"/>
        </w:rPr>
      </w:pPr>
      <w:r>
        <w:rPr>
          <w:rStyle w:val="Heading12"/>
          <w:rFonts w:cs="Times New Roman"/>
          <w:b/>
        </w:rPr>
        <w:t>2. (П2) ЦЕНОВИ КРИТЕРИЙ</w:t>
      </w:r>
      <w:r>
        <w:rPr>
          <w:rStyle w:val="Heading12"/>
          <w:rFonts w:cs="Times New Roman"/>
          <w:b/>
          <w:lang w:val="en-GB"/>
        </w:rPr>
        <w:t xml:space="preserve"> – </w:t>
      </w:r>
      <w:r>
        <w:rPr>
          <w:rStyle w:val="Heading12"/>
          <w:rFonts w:cs="Times New Roman"/>
          <w:b/>
          <w:lang w:val="bg-BG"/>
        </w:rPr>
        <w:t xml:space="preserve">оценката се извършва съгласно Приложение </w:t>
      </w:r>
      <w:r w:rsidRPr="00E274C5">
        <w:rPr>
          <w:rStyle w:val="Heading12"/>
          <w:rFonts w:cs="Times New Roman"/>
          <w:b/>
          <w:lang w:val="bg-BG"/>
        </w:rPr>
        <w:t>№2</w:t>
      </w:r>
      <w:r w:rsidRPr="00E274C5">
        <w:rPr>
          <w:rStyle w:val="Heading12"/>
          <w:rFonts w:cs="Times New Roman"/>
          <w:b/>
        </w:rPr>
        <w:t>а</w:t>
      </w:r>
      <w:r>
        <w:rPr>
          <w:rStyle w:val="Heading12"/>
          <w:rFonts w:cs="Times New Roman"/>
          <w:b/>
          <w:lang w:val="bg-BG"/>
        </w:rPr>
        <w:t>.</w:t>
      </w:r>
    </w:p>
    <w:p w:rsidR="00F12975" w:rsidRPr="00E274C5" w:rsidRDefault="00F12975" w:rsidP="006F68D1">
      <w:pPr>
        <w:jc w:val="both"/>
        <w:rPr>
          <w:rStyle w:val="Heading12"/>
          <w:rFonts w:cs="Times New Roman"/>
          <w:lang w:val="bg-BG"/>
        </w:rPr>
      </w:pPr>
    </w:p>
    <w:p w:rsidR="00F12975" w:rsidRDefault="00F12975" w:rsidP="006F68D1">
      <w:pPr>
        <w:pStyle w:val="BodyText31"/>
        <w:ind w:left="20" w:right="20" w:firstLine="540"/>
      </w:pPr>
      <w:r>
        <w:rPr>
          <w:rStyle w:val="BodyText2"/>
        </w:rPr>
        <w:t>До оценка по показателя (П2) се допускат само оферти, които съответстват на условията за изпълнение на обществената поръчка. Максимален брой точки по показателя - 70 точки. Относителната тежест на показателя в комплексната оценка е 70 %. Оценките на офертите по показателя се изчисляват по формулата:</w:t>
      </w:r>
    </w:p>
    <w:p w:rsidR="00F12975" w:rsidRDefault="00F12975" w:rsidP="006F68D1">
      <w:pPr>
        <w:pStyle w:val="BodyText31"/>
        <w:ind w:left="20" w:right="20" w:firstLine="540"/>
        <w:rPr>
          <w:b/>
        </w:rPr>
      </w:pPr>
      <w:r>
        <w:rPr>
          <w:b/>
        </w:rPr>
        <w:t>П2 = (Цмин/ Цi) х 70 =</w:t>
      </w:r>
      <w:r>
        <w:rPr>
          <w:b/>
          <w:lang w:val="en-US"/>
        </w:rPr>
        <w:t xml:space="preserve"> </w:t>
      </w:r>
      <w:r>
        <w:rPr>
          <w:b/>
        </w:rPr>
        <w:t>(брой точки)</w:t>
      </w:r>
    </w:p>
    <w:p w:rsidR="00F12975" w:rsidRDefault="00F12975" w:rsidP="006F68D1">
      <w:pPr>
        <w:pStyle w:val="BodyText31"/>
        <w:spacing w:line="266" w:lineRule="exact"/>
        <w:ind w:left="20" w:right="20" w:firstLine="560"/>
      </w:pPr>
      <w:r>
        <w:t xml:space="preserve">Където </w:t>
      </w:r>
      <w:r>
        <w:rPr>
          <w:b/>
        </w:rPr>
        <w:t>Цi</w:t>
      </w:r>
      <w:r>
        <w:t xml:space="preserve"> е предложената цена за позицията в лева без ДДС съгласно Ценовото предложение на съответния участник.</w:t>
      </w:r>
    </w:p>
    <w:p w:rsidR="00F12975" w:rsidRDefault="00F12975" w:rsidP="006F68D1">
      <w:pPr>
        <w:pStyle w:val="BodyText31"/>
        <w:spacing w:after="297" w:line="270" w:lineRule="exact"/>
        <w:ind w:left="20" w:right="20" w:firstLine="560"/>
      </w:pPr>
      <w:r>
        <w:t xml:space="preserve">Където </w:t>
      </w:r>
      <w:r>
        <w:rPr>
          <w:b/>
        </w:rPr>
        <w:t>Цмин</w:t>
      </w:r>
      <w:r>
        <w:t xml:space="preserve"> е най-ниската предложена цена за позицията в лева без ДДС съгласно Ценовите предложения на всички участници за тази позиция</w:t>
      </w:r>
    </w:p>
    <w:p w:rsidR="00F12975" w:rsidRDefault="00F12975" w:rsidP="006F68D1">
      <w:pPr>
        <w:pStyle w:val="Bodytext60"/>
        <w:spacing w:after="300" w:line="274" w:lineRule="exact"/>
        <w:ind w:left="20" w:right="560"/>
      </w:pPr>
      <w:r>
        <w:rPr>
          <w:rStyle w:val="Bodytext611"/>
          <w:bCs/>
          <w:szCs w:val="23"/>
        </w:rPr>
        <w:t>Забележка:</w:t>
      </w:r>
      <w:r>
        <w:t xml:space="preserve"> При извършване на оценяването по съответните показатели за оценка ще се използва закръгляване до втория знак след десетичната запетая.</w:t>
      </w:r>
    </w:p>
    <w:p w:rsidR="00F12975" w:rsidRPr="00F514F4" w:rsidRDefault="00F12975">
      <w:pPr>
        <w:rPr>
          <w:lang w:val="bg-BG"/>
        </w:rPr>
      </w:pPr>
    </w:p>
    <w:sectPr w:rsidR="00F12975" w:rsidRPr="00F514F4" w:rsidSect="00BD21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FCD"/>
    <w:rsid w:val="00096FCD"/>
    <w:rsid w:val="00134600"/>
    <w:rsid w:val="001606D9"/>
    <w:rsid w:val="001F227B"/>
    <w:rsid w:val="0021560D"/>
    <w:rsid w:val="002C3AD4"/>
    <w:rsid w:val="004401C3"/>
    <w:rsid w:val="00456DD0"/>
    <w:rsid w:val="00475036"/>
    <w:rsid w:val="004B76B2"/>
    <w:rsid w:val="004D7028"/>
    <w:rsid w:val="00501C5F"/>
    <w:rsid w:val="00627431"/>
    <w:rsid w:val="006F68D1"/>
    <w:rsid w:val="00715354"/>
    <w:rsid w:val="00744153"/>
    <w:rsid w:val="007A3295"/>
    <w:rsid w:val="0084300A"/>
    <w:rsid w:val="008A02D5"/>
    <w:rsid w:val="0093747E"/>
    <w:rsid w:val="009E58D7"/>
    <w:rsid w:val="009F1815"/>
    <w:rsid w:val="009F7256"/>
    <w:rsid w:val="00A33FA0"/>
    <w:rsid w:val="00A8238E"/>
    <w:rsid w:val="00AC745D"/>
    <w:rsid w:val="00B14C58"/>
    <w:rsid w:val="00B635AF"/>
    <w:rsid w:val="00BD21AF"/>
    <w:rsid w:val="00BF1748"/>
    <w:rsid w:val="00CB5B75"/>
    <w:rsid w:val="00CE230E"/>
    <w:rsid w:val="00CF3CF7"/>
    <w:rsid w:val="00DA75AD"/>
    <w:rsid w:val="00DF0AAC"/>
    <w:rsid w:val="00E03486"/>
    <w:rsid w:val="00E274C5"/>
    <w:rsid w:val="00F12975"/>
    <w:rsid w:val="00F348CF"/>
    <w:rsid w:val="00F514F4"/>
    <w:rsid w:val="00FA280D"/>
    <w:rsid w:val="00FC60A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CD"/>
    <w:rPr>
      <w:rFonts w:ascii="Arial Unicode MS" w:eastAsia="Arial Unicode MS" w:hAnsi="Arial Unicode MS" w:cs="Arial Unicode MS"/>
      <w:color w:val="000000"/>
      <w:sz w:val="24"/>
      <w:szCs w:val="24"/>
      <w:lan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uiPriority w:val="99"/>
    <w:locked/>
    <w:rsid w:val="00096FCD"/>
    <w:rPr>
      <w:rFonts w:ascii="Times New Roman" w:hAnsi="Times New Roman"/>
      <w:sz w:val="24"/>
      <w:shd w:val="clear" w:color="auto" w:fill="FFFFFF"/>
    </w:rPr>
  </w:style>
  <w:style w:type="character" w:customStyle="1" w:styleId="Bodytext3NotBold">
    <w:name w:val="Body text (3) + Not Bold"/>
    <w:uiPriority w:val="99"/>
    <w:rsid w:val="00096FCD"/>
    <w:rPr>
      <w:rFonts w:ascii="Times New Roman" w:hAnsi="Times New Roman"/>
      <w:b/>
      <w:spacing w:val="0"/>
      <w:sz w:val="24"/>
    </w:rPr>
  </w:style>
  <w:style w:type="character" w:customStyle="1" w:styleId="Bodytext">
    <w:name w:val="Body text_"/>
    <w:link w:val="BodyText31"/>
    <w:uiPriority w:val="99"/>
    <w:locked/>
    <w:rsid w:val="00096FCD"/>
    <w:rPr>
      <w:rFonts w:ascii="Times New Roman" w:hAnsi="Times New Roman"/>
      <w:sz w:val="24"/>
      <w:shd w:val="clear" w:color="auto" w:fill="FFFFFF"/>
    </w:rPr>
  </w:style>
  <w:style w:type="character" w:customStyle="1" w:styleId="Bodytext3Spacing1pt">
    <w:name w:val="Body text (3) + Spacing 1 pt"/>
    <w:uiPriority w:val="99"/>
    <w:rsid w:val="00096FCD"/>
    <w:rPr>
      <w:rFonts w:ascii="Times New Roman" w:hAnsi="Times New Roman"/>
      <w:spacing w:val="20"/>
      <w:sz w:val="24"/>
    </w:rPr>
  </w:style>
  <w:style w:type="character" w:customStyle="1" w:styleId="Bodytext14">
    <w:name w:val="Body text (14)_"/>
    <w:link w:val="Bodytext140"/>
    <w:uiPriority w:val="99"/>
    <w:locked/>
    <w:rsid w:val="00096FCD"/>
    <w:rPr>
      <w:rFonts w:ascii="Times New Roman" w:hAnsi="Times New Roman"/>
      <w:sz w:val="23"/>
      <w:shd w:val="clear" w:color="auto" w:fill="FFFFFF"/>
    </w:rPr>
  </w:style>
  <w:style w:type="character" w:customStyle="1" w:styleId="Bodytext15">
    <w:name w:val="Body text (15)_"/>
    <w:link w:val="Bodytext150"/>
    <w:uiPriority w:val="99"/>
    <w:locked/>
    <w:rsid w:val="00096FCD"/>
    <w:rPr>
      <w:rFonts w:ascii="Times New Roman" w:hAnsi="Times New Roman"/>
      <w:sz w:val="24"/>
      <w:shd w:val="clear" w:color="auto" w:fill="FFFFFF"/>
    </w:rPr>
  </w:style>
  <w:style w:type="character" w:customStyle="1" w:styleId="BodytextSpacing1pt">
    <w:name w:val="Body text + Spacing 1 pt"/>
    <w:uiPriority w:val="99"/>
    <w:rsid w:val="00096FCD"/>
    <w:rPr>
      <w:rFonts w:ascii="Times New Roman" w:hAnsi="Times New Roman"/>
      <w:spacing w:val="30"/>
      <w:sz w:val="24"/>
    </w:rPr>
  </w:style>
  <w:style w:type="character" w:customStyle="1" w:styleId="Bodytext16">
    <w:name w:val="Body text (16)_"/>
    <w:link w:val="Bodytext160"/>
    <w:uiPriority w:val="99"/>
    <w:locked/>
    <w:rsid w:val="00096FCD"/>
    <w:rPr>
      <w:rFonts w:ascii="Century Schoolbook" w:eastAsia="Times New Roman" w:hAnsi="Century Schoolbook"/>
      <w:sz w:val="24"/>
      <w:shd w:val="clear" w:color="auto" w:fill="FFFFFF"/>
    </w:rPr>
  </w:style>
  <w:style w:type="character" w:customStyle="1" w:styleId="Bodytext17">
    <w:name w:val="Body text (17)_"/>
    <w:link w:val="Bodytext170"/>
    <w:uiPriority w:val="99"/>
    <w:locked/>
    <w:rsid w:val="00096FCD"/>
    <w:rPr>
      <w:rFonts w:ascii="Times New Roman" w:hAnsi="Times New Roman"/>
      <w:sz w:val="23"/>
      <w:shd w:val="clear" w:color="auto" w:fill="FFFFFF"/>
    </w:rPr>
  </w:style>
  <w:style w:type="character" w:customStyle="1" w:styleId="Bodytext8">
    <w:name w:val="Body text (8)_"/>
    <w:link w:val="Bodytext80"/>
    <w:uiPriority w:val="99"/>
    <w:locked/>
    <w:rsid w:val="00096FCD"/>
    <w:rPr>
      <w:rFonts w:ascii="Century Schoolbook" w:eastAsia="Times New Roman" w:hAnsi="Century Schoolbook"/>
      <w:sz w:val="24"/>
      <w:shd w:val="clear" w:color="auto" w:fill="FFFFFF"/>
    </w:rPr>
  </w:style>
  <w:style w:type="character" w:customStyle="1" w:styleId="Bodytext8TimesNewRoman">
    <w:name w:val="Body text (8) + Times New Roman"/>
    <w:uiPriority w:val="99"/>
    <w:rsid w:val="00096FCD"/>
    <w:rPr>
      <w:rFonts w:ascii="Times New Roman" w:hAnsi="Times New Roman"/>
      <w:spacing w:val="0"/>
      <w:sz w:val="24"/>
    </w:rPr>
  </w:style>
  <w:style w:type="character" w:customStyle="1" w:styleId="Bodytext7">
    <w:name w:val="Body text (7)_"/>
    <w:link w:val="Bodytext70"/>
    <w:uiPriority w:val="99"/>
    <w:locked/>
    <w:rsid w:val="00096FCD"/>
    <w:rPr>
      <w:rFonts w:ascii="Times New Roman" w:hAnsi="Times New Roman"/>
      <w:sz w:val="23"/>
      <w:shd w:val="clear" w:color="auto" w:fill="FFFFFF"/>
    </w:rPr>
  </w:style>
  <w:style w:type="paragraph" w:customStyle="1" w:styleId="Bodytext30">
    <w:name w:val="Body text (3)"/>
    <w:basedOn w:val="Normal"/>
    <w:link w:val="Bodytext3"/>
    <w:uiPriority w:val="99"/>
    <w:rsid w:val="00096FCD"/>
    <w:pPr>
      <w:shd w:val="clear" w:color="auto" w:fill="FFFFFF"/>
      <w:spacing w:before="5160" w:after="900" w:line="281" w:lineRule="exact"/>
      <w:ind w:hanging="360"/>
      <w:jc w:val="center"/>
    </w:pPr>
    <w:rPr>
      <w:rFonts w:ascii="Times New Roman" w:eastAsia="Times New Roman" w:hAnsi="Times New Roman" w:cs="Times New Roman"/>
      <w:color w:val="auto"/>
      <w:lang w:val="bg-BG"/>
    </w:rPr>
  </w:style>
  <w:style w:type="paragraph" w:customStyle="1" w:styleId="BodyText31">
    <w:name w:val="Body Text3"/>
    <w:basedOn w:val="Normal"/>
    <w:link w:val="Bodytext"/>
    <w:uiPriority w:val="99"/>
    <w:rsid w:val="00096FCD"/>
    <w:pPr>
      <w:shd w:val="clear" w:color="auto" w:fill="FFFFFF"/>
      <w:spacing w:line="277" w:lineRule="exact"/>
      <w:ind w:hanging="680"/>
      <w:jc w:val="both"/>
    </w:pPr>
    <w:rPr>
      <w:rFonts w:ascii="Times New Roman" w:eastAsia="Times New Roman" w:hAnsi="Times New Roman" w:cs="Times New Roman"/>
      <w:color w:val="auto"/>
      <w:lang w:val="bg-BG"/>
    </w:rPr>
  </w:style>
  <w:style w:type="paragraph" w:customStyle="1" w:styleId="Bodytext140">
    <w:name w:val="Body text (14)"/>
    <w:basedOn w:val="Normal"/>
    <w:link w:val="Bodytext14"/>
    <w:uiPriority w:val="99"/>
    <w:rsid w:val="00096FCD"/>
    <w:pPr>
      <w:shd w:val="clear" w:color="auto" w:fill="FFFFFF"/>
      <w:spacing w:line="240" w:lineRule="atLeast"/>
    </w:pPr>
    <w:rPr>
      <w:rFonts w:ascii="Times New Roman" w:eastAsia="Times New Roman" w:hAnsi="Times New Roman" w:cs="Times New Roman"/>
      <w:color w:val="auto"/>
      <w:sz w:val="23"/>
      <w:szCs w:val="23"/>
      <w:lang w:val="bg-BG"/>
    </w:rPr>
  </w:style>
  <w:style w:type="paragraph" w:customStyle="1" w:styleId="Bodytext150">
    <w:name w:val="Body text (15)"/>
    <w:basedOn w:val="Normal"/>
    <w:link w:val="Bodytext15"/>
    <w:uiPriority w:val="99"/>
    <w:rsid w:val="00096FCD"/>
    <w:pPr>
      <w:shd w:val="clear" w:color="auto" w:fill="FFFFFF"/>
      <w:spacing w:line="240" w:lineRule="atLeast"/>
    </w:pPr>
    <w:rPr>
      <w:rFonts w:ascii="Times New Roman" w:eastAsia="Times New Roman" w:hAnsi="Times New Roman" w:cs="Times New Roman"/>
      <w:color w:val="auto"/>
      <w:lang w:val="bg-BG"/>
    </w:rPr>
  </w:style>
  <w:style w:type="paragraph" w:customStyle="1" w:styleId="Bodytext160">
    <w:name w:val="Body text (16)"/>
    <w:basedOn w:val="Normal"/>
    <w:link w:val="Bodytext16"/>
    <w:uiPriority w:val="99"/>
    <w:rsid w:val="00096FCD"/>
    <w:pPr>
      <w:shd w:val="clear" w:color="auto" w:fill="FFFFFF"/>
      <w:spacing w:line="240" w:lineRule="atLeast"/>
    </w:pPr>
    <w:rPr>
      <w:rFonts w:ascii="Century Schoolbook" w:eastAsia="Calibri" w:hAnsi="Century Schoolbook" w:cs="Times New Roman"/>
      <w:color w:val="auto"/>
      <w:lang w:val="bg-BG"/>
    </w:rPr>
  </w:style>
  <w:style w:type="paragraph" w:customStyle="1" w:styleId="Bodytext170">
    <w:name w:val="Body text (17)"/>
    <w:basedOn w:val="Normal"/>
    <w:link w:val="Bodytext17"/>
    <w:uiPriority w:val="99"/>
    <w:rsid w:val="00096FCD"/>
    <w:pPr>
      <w:shd w:val="clear" w:color="auto" w:fill="FFFFFF"/>
      <w:spacing w:line="240" w:lineRule="atLeast"/>
    </w:pPr>
    <w:rPr>
      <w:rFonts w:ascii="Times New Roman" w:eastAsia="Times New Roman" w:hAnsi="Times New Roman" w:cs="Times New Roman"/>
      <w:color w:val="auto"/>
      <w:sz w:val="23"/>
      <w:szCs w:val="23"/>
      <w:lang w:val="bg-BG"/>
    </w:rPr>
  </w:style>
  <w:style w:type="paragraph" w:customStyle="1" w:styleId="Bodytext80">
    <w:name w:val="Body text (8)"/>
    <w:basedOn w:val="Normal"/>
    <w:link w:val="Bodytext8"/>
    <w:uiPriority w:val="99"/>
    <w:rsid w:val="00096FCD"/>
    <w:pPr>
      <w:shd w:val="clear" w:color="auto" w:fill="FFFFFF"/>
      <w:spacing w:line="240" w:lineRule="atLeast"/>
    </w:pPr>
    <w:rPr>
      <w:rFonts w:ascii="Century Schoolbook" w:eastAsia="Calibri" w:hAnsi="Century Schoolbook" w:cs="Times New Roman"/>
      <w:color w:val="auto"/>
      <w:lang w:val="bg-BG"/>
    </w:rPr>
  </w:style>
  <w:style w:type="paragraph" w:customStyle="1" w:styleId="Bodytext70">
    <w:name w:val="Body text (7)"/>
    <w:basedOn w:val="Normal"/>
    <w:link w:val="Bodytext7"/>
    <w:uiPriority w:val="99"/>
    <w:rsid w:val="00096FCD"/>
    <w:pPr>
      <w:shd w:val="clear" w:color="auto" w:fill="FFFFFF"/>
      <w:spacing w:line="277" w:lineRule="exact"/>
      <w:jc w:val="both"/>
    </w:pPr>
    <w:rPr>
      <w:rFonts w:ascii="Times New Roman" w:eastAsia="Times New Roman" w:hAnsi="Times New Roman" w:cs="Times New Roman"/>
      <w:color w:val="auto"/>
      <w:sz w:val="23"/>
      <w:szCs w:val="23"/>
      <w:lang w:val="bg-BG"/>
    </w:rPr>
  </w:style>
  <w:style w:type="character" w:customStyle="1" w:styleId="Heading12">
    <w:name w:val="Heading #1 (2)"/>
    <w:uiPriority w:val="99"/>
    <w:rsid w:val="00F514F4"/>
    <w:rPr>
      <w:rFonts w:ascii="Times New Roman" w:hAnsi="Times New Roman"/>
      <w:spacing w:val="0"/>
      <w:sz w:val="24"/>
    </w:rPr>
  </w:style>
  <w:style w:type="character" w:customStyle="1" w:styleId="Bodytext6">
    <w:name w:val="Body text (6)_"/>
    <w:link w:val="Bodytext60"/>
    <w:uiPriority w:val="99"/>
    <w:locked/>
    <w:rsid w:val="006F68D1"/>
    <w:rPr>
      <w:rFonts w:ascii="Times New Roman" w:hAnsi="Times New Roman"/>
      <w:sz w:val="24"/>
      <w:shd w:val="clear" w:color="auto" w:fill="FFFFFF"/>
    </w:rPr>
  </w:style>
  <w:style w:type="paragraph" w:customStyle="1" w:styleId="Bodytext60">
    <w:name w:val="Body text (6)"/>
    <w:basedOn w:val="Normal"/>
    <w:link w:val="Bodytext6"/>
    <w:uiPriority w:val="99"/>
    <w:rsid w:val="006F68D1"/>
    <w:pPr>
      <w:shd w:val="clear" w:color="auto" w:fill="FFFFFF"/>
      <w:spacing w:before="240" w:line="292" w:lineRule="exact"/>
      <w:ind w:hanging="340"/>
      <w:jc w:val="both"/>
    </w:pPr>
    <w:rPr>
      <w:rFonts w:ascii="Times New Roman" w:eastAsia="Times New Roman" w:hAnsi="Times New Roman" w:cs="Times New Roman"/>
      <w:color w:val="auto"/>
      <w:lang w:val="bg-BG"/>
    </w:rPr>
  </w:style>
  <w:style w:type="character" w:customStyle="1" w:styleId="Bodytext611">
    <w:name w:val="Body text (6) + 11"/>
    <w:aliases w:val="5 pt,Bold"/>
    <w:uiPriority w:val="99"/>
    <w:rsid w:val="006F68D1"/>
    <w:rPr>
      <w:rFonts w:ascii="Times New Roman" w:hAnsi="Times New Roman"/>
      <w:b/>
      <w:spacing w:val="0"/>
      <w:sz w:val="23"/>
      <w:u w:val="none"/>
      <w:effect w:val="none"/>
    </w:rPr>
  </w:style>
  <w:style w:type="character" w:customStyle="1" w:styleId="BodyText2">
    <w:name w:val="Body Text2"/>
    <w:uiPriority w:val="99"/>
    <w:rsid w:val="006F68D1"/>
    <w:rPr>
      <w:rFonts w:ascii="Times New Roman" w:hAnsi="Times New Roman"/>
      <w:spacing w:val="0"/>
      <w:sz w:val="24"/>
      <w:u w:val="none"/>
      <w:effect w:val="none"/>
    </w:rPr>
  </w:style>
  <w:style w:type="paragraph" w:styleId="BalloonText">
    <w:name w:val="Balloon Text"/>
    <w:basedOn w:val="Normal"/>
    <w:link w:val="BalloonTextChar"/>
    <w:uiPriority w:val="99"/>
    <w:semiHidden/>
    <w:rsid w:val="00BF17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1748"/>
    <w:rPr>
      <w:rFonts w:ascii="Tahoma" w:eastAsia="Arial Unicode MS" w:hAnsi="Tahoma" w:cs="Tahoma"/>
      <w:color w:val="000000"/>
      <w:sz w:val="16"/>
      <w:szCs w:val="16"/>
      <w:lang w:eastAsia="bg-BG"/>
    </w:rPr>
  </w:style>
  <w:style w:type="character" w:styleId="CommentReference">
    <w:name w:val="annotation reference"/>
    <w:basedOn w:val="DefaultParagraphFont"/>
    <w:uiPriority w:val="99"/>
    <w:semiHidden/>
    <w:rsid w:val="00744153"/>
    <w:rPr>
      <w:rFonts w:cs="Times New Roman"/>
      <w:sz w:val="16"/>
      <w:szCs w:val="16"/>
    </w:rPr>
  </w:style>
  <w:style w:type="paragraph" w:styleId="CommentText">
    <w:name w:val="annotation text"/>
    <w:basedOn w:val="Normal"/>
    <w:link w:val="CommentTextChar"/>
    <w:uiPriority w:val="99"/>
    <w:semiHidden/>
    <w:rsid w:val="00744153"/>
    <w:rPr>
      <w:sz w:val="20"/>
      <w:szCs w:val="20"/>
    </w:rPr>
  </w:style>
  <w:style w:type="character" w:customStyle="1" w:styleId="CommentTextChar">
    <w:name w:val="Comment Text Char"/>
    <w:basedOn w:val="DefaultParagraphFont"/>
    <w:link w:val="CommentText"/>
    <w:uiPriority w:val="99"/>
    <w:semiHidden/>
    <w:locked/>
    <w:rsid w:val="00744153"/>
    <w:rPr>
      <w:rFonts w:ascii="Arial Unicode MS" w:eastAsia="Arial Unicode MS" w:hAnsi="Arial Unicode MS" w:cs="Arial Unicode MS"/>
      <w:color w:val="000000"/>
      <w:sz w:val="20"/>
      <w:szCs w:val="20"/>
      <w:lang w:eastAsia="bg-BG"/>
    </w:rPr>
  </w:style>
  <w:style w:type="paragraph" w:styleId="CommentSubject">
    <w:name w:val="annotation subject"/>
    <w:basedOn w:val="CommentText"/>
    <w:next w:val="CommentText"/>
    <w:link w:val="CommentSubjectChar"/>
    <w:uiPriority w:val="99"/>
    <w:semiHidden/>
    <w:rsid w:val="00744153"/>
    <w:rPr>
      <w:b/>
      <w:bCs/>
    </w:rPr>
  </w:style>
  <w:style w:type="character" w:customStyle="1" w:styleId="CommentSubjectChar">
    <w:name w:val="Comment Subject Char"/>
    <w:basedOn w:val="CommentTextChar"/>
    <w:link w:val="CommentSubject"/>
    <w:uiPriority w:val="99"/>
    <w:semiHidden/>
    <w:locked/>
    <w:rsid w:val="00744153"/>
    <w:rPr>
      <w:b/>
      <w:bCs/>
    </w:rPr>
  </w:style>
</w:styles>
</file>

<file path=word/webSettings.xml><?xml version="1.0" encoding="utf-8"?>
<w:webSettings xmlns:r="http://schemas.openxmlformats.org/officeDocument/2006/relationships" xmlns:w="http://schemas.openxmlformats.org/wordprocessingml/2006/main">
  <w:divs>
    <w:div w:id="1881169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6</Pages>
  <Words>2133</Words>
  <Characters>12161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STsvetkova</dc:creator>
  <cp:keywords/>
  <dc:description/>
  <cp:lastModifiedBy>MNaydenov</cp:lastModifiedBy>
  <cp:revision>12</cp:revision>
  <dcterms:created xsi:type="dcterms:W3CDTF">2016-12-13T11:46:00Z</dcterms:created>
  <dcterms:modified xsi:type="dcterms:W3CDTF">2016-12-16T07:26:00Z</dcterms:modified>
</cp:coreProperties>
</file>