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F4" w:rsidRPr="002125F4" w:rsidRDefault="002125F4" w:rsidP="002125F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2125F4" w:rsidRPr="002125F4" w:rsidRDefault="002125F4" w:rsidP="002125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sz w:val="24"/>
          <w:szCs w:val="24"/>
        </w:rPr>
        <w:t>Обществената поръчка се възлага въз основа на икономически най-изгодната оферта с критерий за възлагане</w:t>
      </w:r>
      <w:r w:rsidRPr="0021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25F4">
        <w:rPr>
          <w:rFonts w:ascii="Calibri" w:eastAsia="Times New Roman" w:hAnsi="Calibri" w:cs="Times New Roman"/>
        </w:rPr>
        <w:t xml:space="preserve"> </w:t>
      </w:r>
      <w:r w:rsidRPr="002125F4">
        <w:rPr>
          <w:rFonts w:ascii="Times New Roman" w:eastAsia="Times New Roman" w:hAnsi="Times New Roman" w:cs="Times New Roman"/>
          <w:b/>
          <w:sz w:val="24"/>
          <w:szCs w:val="24"/>
        </w:rPr>
        <w:t>„оптимално съотношение качество/цена“</w:t>
      </w:r>
      <w:r w:rsidRPr="002125F4">
        <w:rPr>
          <w:rFonts w:ascii="Calibri" w:eastAsia="Times New Roman" w:hAnsi="Calibri" w:cs="Times New Roman"/>
        </w:rPr>
        <w:t xml:space="preserve"> </w:t>
      </w:r>
      <w:r w:rsidRPr="002125F4">
        <w:rPr>
          <w:rFonts w:ascii="Times New Roman" w:eastAsia="Times New Roman" w:hAnsi="Times New Roman" w:cs="Times New Roman"/>
          <w:sz w:val="24"/>
          <w:szCs w:val="24"/>
        </w:rPr>
        <w:t>по чл. 70, ал. 2, т. 3 от ЗОП</w:t>
      </w:r>
      <w:r w:rsidRPr="002125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25F4" w:rsidRPr="002125F4" w:rsidRDefault="002125F4" w:rsidP="002125F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25F4">
        <w:rPr>
          <w:rFonts w:ascii="Times New Roman" w:eastAsia="Calibri" w:hAnsi="Times New Roman" w:cs="Times New Roman"/>
          <w:sz w:val="24"/>
          <w:szCs w:val="24"/>
        </w:rPr>
        <w:t>МЕТОДИКА ЗА ОПРЕДЕЛЯНЕ НА КОМПЛЕКСНАТА ОЦЕНКА НА ОФЕРТИТЕ</w:t>
      </w:r>
    </w:p>
    <w:p w:rsidR="002125F4" w:rsidRPr="002125F4" w:rsidRDefault="002125F4" w:rsidP="00212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Cs/>
          <w:sz w:val="24"/>
          <w:szCs w:val="24"/>
        </w:rPr>
        <w:t>Настоящата методика съдържа точни указания за извършване на оценка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>Възложителят прилага методиката по отношение на всички допуснати до оценка оферти, без да я променя.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определен съобразно следните показатели:</w:t>
      </w:r>
    </w:p>
    <w:p w:rsidR="002125F4" w:rsidRPr="002125F4" w:rsidRDefault="002125F4" w:rsidP="002125F4">
      <w:pPr>
        <w:widowControl w:val="0"/>
        <w:tabs>
          <w:tab w:val="left" w:pos="1004"/>
        </w:tabs>
        <w:spacing w:after="0" w:line="240" w:lineRule="auto"/>
        <w:ind w:left="760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509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3"/>
        <w:gridCol w:w="2256"/>
      </w:tblGrid>
      <w:tr w:rsidR="002125F4" w:rsidRPr="002125F4" w:rsidTr="00AA6D48">
        <w:trPr>
          <w:trHeight w:val="173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CDE5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CDE5"/>
            <w:vAlign w:val="center"/>
          </w:tcPr>
          <w:p w:rsidR="002125F4" w:rsidRPr="002125F4" w:rsidRDefault="002125F4" w:rsidP="002125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2125F4" w:rsidRPr="002125F4" w:rsidTr="00AA6D48">
        <w:trPr>
          <w:trHeight w:val="442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9CDE5"/>
            <w:vAlign w:val="center"/>
          </w:tcPr>
          <w:p w:rsidR="002125F4" w:rsidRPr="002125F4" w:rsidRDefault="002125F4" w:rsidP="002125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Показател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125F4" w:rsidRPr="002125F4" w:rsidTr="00AA6D48">
        <w:trPr>
          <w:trHeight w:val="7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9CDE5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125F4" w:rsidRPr="002125F4" w:rsidTr="00AA6D48">
        <w:trPr>
          <w:trHeight w:hRule="exact" w:val="44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8A8A8"/>
            <w:vAlign w:val="center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Техническа оценка на офертата (ТО)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8A8A8"/>
            <w:vAlign w:val="center"/>
          </w:tcPr>
          <w:p w:rsidR="002125F4" w:rsidRPr="002125F4" w:rsidRDefault="002125F4" w:rsidP="002125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60</w:t>
            </w:r>
          </w:p>
        </w:tc>
      </w:tr>
      <w:tr w:rsidR="002125F4" w:rsidRPr="002125F4" w:rsidTr="00AA6D48">
        <w:trPr>
          <w:trHeight w:hRule="exact" w:val="45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8A8"/>
            <w:vAlign w:val="center"/>
          </w:tcPr>
          <w:p w:rsidR="002125F4" w:rsidRPr="002125F4" w:rsidRDefault="002125F4" w:rsidP="002125F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Финансова оценка на офертата (ФО)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8A8"/>
            <w:vAlign w:val="center"/>
          </w:tcPr>
          <w:p w:rsidR="002125F4" w:rsidRPr="002125F4" w:rsidRDefault="002125F4" w:rsidP="002125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2125F4" w:rsidRPr="002125F4" w:rsidRDefault="002125F4" w:rsidP="002125F4">
      <w:pPr>
        <w:widowControl w:val="0"/>
        <w:tabs>
          <w:tab w:val="left" w:pos="1004"/>
        </w:tabs>
        <w:spacing w:after="0" w:line="240" w:lineRule="auto"/>
        <w:ind w:left="760"/>
        <w:rPr>
          <w:rFonts w:ascii="Times New Roman" w:eastAsia="Batang" w:hAnsi="Times New Roman" w:cs="Times New Roman"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</w:t>
      </w: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sz w:val="24"/>
          <w:szCs w:val="24"/>
        </w:rPr>
        <w:t>ТЕХНИЧЕСКА ОЦЕНКА НА ОФЕРТАТА /ТО/</w:t>
      </w:r>
    </w:p>
    <w:p w:rsidR="002125F4" w:rsidRPr="002125F4" w:rsidRDefault="002125F4" w:rsidP="002125F4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>В съответствие с чл. 70, ал. 4, т. 2 във връзка с чл. 70, ал. 2, т. 3 от ЗОП, показателят „Техническа оценка на офертата” (ТО) представлява оценка на качеството на офертата въз основа организацията и професионалната компетентност на персонала, на който е възложено изпълнението на поръчката.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>Техническата оценка на всяка отделна оферта се извършва съгласно следната формула:</w:t>
      </w:r>
    </w:p>
    <w:p w:rsidR="002125F4" w:rsidRPr="002125F4" w:rsidRDefault="002125F4" w:rsidP="002125F4">
      <w:pPr>
        <w:widowControl w:val="0"/>
        <w:spacing w:after="246" w:line="276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TO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en-US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= ТО</w:t>
      </w:r>
      <w:r w:rsidRPr="00212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bg-BG"/>
        </w:rPr>
        <w:t>1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ТО</w:t>
      </w:r>
      <w:r w:rsidRPr="00212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bidi="bg-BG"/>
        </w:rPr>
        <w:t>2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125F4">
        <w:rPr>
          <w:rFonts w:ascii="Times New Roman" w:eastAsia="Batang" w:hAnsi="Times New Roman" w:cs="Times New Roman"/>
          <w:sz w:val="24"/>
          <w:szCs w:val="24"/>
        </w:rPr>
        <w:t>където:</w:t>
      </w:r>
    </w:p>
    <w:p w:rsidR="002125F4" w:rsidRPr="002125F4" w:rsidRDefault="002125F4" w:rsidP="002125F4">
      <w:pPr>
        <w:spacing w:after="166" w:line="276" w:lineRule="auto"/>
        <w:rPr>
          <w:rFonts w:ascii="Times New Roman" w:eastAsia="Batang" w:hAnsi="Times New Roman" w:cs="Times New Roman"/>
          <w:sz w:val="24"/>
          <w:szCs w:val="24"/>
          <w:lang w:bidi="en-US"/>
        </w:rPr>
      </w:pP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lang w:bidi="en-US"/>
        </w:rPr>
        <w:t>TO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vertAlign w:val="subscript"/>
          <w:lang w:bidi="en-US"/>
        </w:rPr>
        <w:t>n</w:t>
      </w:r>
      <w:r w:rsidRPr="002125F4">
        <w:rPr>
          <w:rFonts w:ascii="Times New Roman" w:eastAsia="Batang" w:hAnsi="Times New Roman" w:cs="Times New Roman"/>
          <w:sz w:val="24"/>
          <w:szCs w:val="24"/>
          <w:lang w:bidi="en-US"/>
        </w:rPr>
        <w:t xml:space="preserve"> 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е техническата оценка на офертата на участника </w:t>
      </w:r>
      <w:r w:rsidRPr="002125F4">
        <w:rPr>
          <w:rFonts w:ascii="Times New Roman" w:eastAsia="Batang" w:hAnsi="Times New Roman" w:cs="Times New Roman"/>
          <w:sz w:val="24"/>
          <w:szCs w:val="24"/>
          <w:lang w:bidi="en-US"/>
        </w:rPr>
        <w:t>N;</w:t>
      </w:r>
    </w:p>
    <w:p w:rsidR="002125F4" w:rsidRPr="002125F4" w:rsidRDefault="002125F4" w:rsidP="002125F4">
      <w:pPr>
        <w:spacing w:after="18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bidi="bg-BG"/>
        </w:rPr>
        <w:t>ТО</w:t>
      </w: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vertAlign w:val="subscript"/>
          <w:lang w:bidi="bg-BG"/>
        </w:rPr>
        <w:t>1</w:t>
      </w: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bidi="bg-BG"/>
        </w:rPr>
        <w:t xml:space="preserve"> 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е оценката по под-показател 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„Организация на персонала, на който е възложено изпълнението на поръчката”</w:t>
      </w:r>
      <w:r w:rsidRPr="002125F4">
        <w:rPr>
          <w:rFonts w:ascii="Times New Roman" w:eastAsia="Batang" w:hAnsi="Times New Roman" w:cs="Times New Roman"/>
          <w:sz w:val="24"/>
          <w:szCs w:val="24"/>
        </w:rPr>
        <w:t>, детайлно описан по-долу.</w:t>
      </w:r>
    </w:p>
    <w:p w:rsidR="002125F4" w:rsidRPr="002125F4" w:rsidRDefault="002125F4" w:rsidP="002125F4">
      <w:pPr>
        <w:spacing w:after="215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bidi="bg-BG"/>
        </w:rPr>
        <w:t>ТО</w:t>
      </w: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vertAlign w:val="subscript"/>
          <w:lang w:bidi="bg-BG"/>
        </w:rPr>
        <w:t>2</w:t>
      </w:r>
      <w:r w:rsidRPr="002125F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bidi="bg-BG"/>
        </w:rPr>
        <w:t xml:space="preserve"> 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е оценката по под-показател 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„Професионална компетентност на персонала, на който е възложено изпълнението на поръчката”</w:t>
      </w:r>
      <w:r w:rsidRPr="002125F4">
        <w:rPr>
          <w:rFonts w:ascii="Times New Roman" w:eastAsia="Batang" w:hAnsi="Times New Roman" w:cs="Times New Roman"/>
          <w:sz w:val="24"/>
          <w:szCs w:val="24"/>
        </w:rPr>
        <w:t>, детайлно описан по-долу.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1009"/>
        </w:tabs>
        <w:spacing w:before="120" w:after="18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Чрез под-показателят 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ТО</w:t>
      </w:r>
      <w:r w:rsidRPr="002125F4">
        <w:rPr>
          <w:rFonts w:ascii="Times New Roman" w:eastAsia="Candara" w:hAnsi="Times New Roman" w:cs="Times New Roman"/>
          <w:b/>
          <w:color w:val="000000"/>
          <w:sz w:val="24"/>
          <w:szCs w:val="24"/>
          <w:lang w:bidi="bg-BG"/>
        </w:rPr>
        <w:t>1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 xml:space="preserve"> „Организация на персонала, на който е възложено изпълнението на поръчката”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 се оценява предложената организацията и ефективното управление на персонала, ангажирани в изпълнението на дейностите, предмет на обществената поръчка. Оценката обхваща: описание на дейностите и резултатите; организацията на ключовия екип; разпределението на функциите, ролите и отговорностите на членовете на екипа за осигуряване на информация и комуникация и на различните икономически оператори (в случай на обединения и/или използване на </w:t>
      </w:r>
      <w:r w:rsidRPr="002125F4">
        <w:rPr>
          <w:rFonts w:ascii="Times New Roman" w:eastAsia="Batang" w:hAnsi="Times New Roman" w:cs="Times New Roman"/>
          <w:sz w:val="24"/>
          <w:szCs w:val="24"/>
        </w:rPr>
        <w:lastRenderedPageBreak/>
        <w:t>подизпълнители или трети лица); графичен дизайн на дейностите/артикулите и/или помощните материали за изпълнение на дейностите, които следва да бъдат предоставени на Възложителя; разпределение на времето и ресурсите на изпълнителя от получаване на възлагателното писмо до изпълнение на всяка дейност/артикул или краен резултат</w:t>
      </w:r>
      <w:r w:rsidRPr="002125F4">
        <w:rPr>
          <w:rFonts w:ascii="Times New Roman" w:eastAsia="Batang" w:hAnsi="Times New Roman" w:cs="Times New Roman"/>
          <w:sz w:val="24"/>
          <w:szCs w:val="24"/>
          <w:vertAlign w:val="superscript"/>
        </w:rPr>
        <w:footnoteReference w:id="1"/>
      </w:r>
      <w:r w:rsidRPr="002125F4">
        <w:rPr>
          <w:rFonts w:ascii="Times New Roman" w:eastAsia="Batang" w:hAnsi="Times New Roman" w:cs="Times New Roman"/>
          <w:sz w:val="24"/>
          <w:szCs w:val="24"/>
        </w:rPr>
        <w:t>; комуникация и координация;  предложените мерки и процедури за контрол върху сроковете за изпълнение на дейност/артикул и осигуряване на качеството на услугите по информация и комуникация.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289"/>
        </w:tabs>
        <w:spacing w:before="120" w:after="120"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sz w:val="24"/>
          <w:szCs w:val="24"/>
        </w:rPr>
        <w:t>Максималната стойност на ТО</w:t>
      </w:r>
      <w:r w:rsidRPr="002125F4">
        <w:rPr>
          <w:rFonts w:ascii="Times New Roman" w:eastAsia="Candara" w:hAnsi="Times New Roman" w:cs="Times New Roman"/>
          <w:b/>
          <w:color w:val="000000"/>
          <w:sz w:val="24"/>
          <w:szCs w:val="24"/>
          <w:lang w:bidi="bg-BG"/>
        </w:rPr>
        <w:t>1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 xml:space="preserve"> е </w:t>
      </w:r>
      <w:r w:rsidRPr="002125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5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0 точки</w:t>
      </w:r>
      <w:r w:rsidRPr="002125F4">
        <w:rPr>
          <w:rFonts w:ascii="Times New Roman" w:eastAsia="Batang" w:hAnsi="Times New Roman" w:cs="Times New Roman"/>
          <w:sz w:val="24"/>
          <w:szCs w:val="24"/>
        </w:rPr>
        <w:t>. Конкретният брой точки по под-показател ТО</w:t>
      </w:r>
      <w:r w:rsidRPr="002125F4">
        <w:rPr>
          <w:rFonts w:ascii="Times New Roman" w:eastAsia="Candara" w:hAnsi="Times New Roman" w:cs="Times New Roman"/>
          <w:color w:val="000000"/>
          <w:sz w:val="24"/>
          <w:szCs w:val="24"/>
          <w:lang w:bidi="bg-BG"/>
        </w:rPr>
        <w:t>1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 се определя за всяка оферта на базата на експертна оценка, извършвана от комисията по следната методика:</w:t>
      </w:r>
    </w:p>
    <w:p w:rsidR="002125F4" w:rsidRPr="002125F4" w:rsidRDefault="002125F4" w:rsidP="002125F4">
      <w:pPr>
        <w:widowControl w:val="0"/>
        <w:tabs>
          <w:tab w:val="left" w:pos="289"/>
        </w:tabs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1609"/>
      </w:tblGrid>
      <w:tr w:rsidR="002125F4" w:rsidRPr="002125F4" w:rsidTr="00AA6D48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25F4" w:rsidRPr="002125F4" w:rsidRDefault="002125F4" w:rsidP="002125F4">
            <w:pPr>
              <w:keepNext/>
              <w:keepLines/>
              <w:widowControl w:val="0"/>
              <w:shd w:val="clear" w:color="auto" w:fill="A8A8A8"/>
              <w:spacing w:after="48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Под-показател ТО</w:t>
            </w:r>
            <w:r w:rsidRPr="00212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bidi="bg-BG"/>
              </w:rPr>
              <w:t>1</w:t>
            </w:r>
          </w:p>
          <w:p w:rsidR="002125F4" w:rsidRPr="002125F4" w:rsidRDefault="002125F4" w:rsidP="002125F4">
            <w:pPr>
              <w:widowControl w:val="0"/>
              <w:spacing w:after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„Организация на персонала, на който е възложено изпълнението на</w:t>
            </w:r>
          </w:p>
          <w:p w:rsidR="002125F4" w:rsidRPr="002125F4" w:rsidRDefault="002125F4" w:rsidP="002125F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поръчката”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25F4" w:rsidRPr="002125F4" w:rsidRDefault="002125F4" w:rsidP="002125F4">
            <w:pPr>
              <w:keepNext/>
              <w:keepLines/>
              <w:widowControl w:val="0"/>
              <w:shd w:val="clear" w:color="auto" w:fill="A8A8A8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Максимален</w:t>
            </w: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br/>
              <w:t>брой точки</w:t>
            </w:r>
          </w:p>
          <w:p w:rsidR="002125F4" w:rsidRPr="002125F4" w:rsidRDefault="002125F4" w:rsidP="002125F4">
            <w:pPr>
              <w:keepNext/>
              <w:keepLines/>
              <w:widowControl w:val="0"/>
              <w:shd w:val="clear" w:color="auto" w:fill="A8A8A8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50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2125F4" w:rsidRPr="002125F4" w:rsidTr="00AA6D48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25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Предложената от участника организация на персонала осигурява изпълнението на следните минимални изисквания на Възложителя, а именно: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8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предложил организация на персонала, посочил е как се разпределят отговорностите и дейностите между експертите за времето от получаване на възлагателно писмо от Възложителя до предоставянето на съответната дейност/артикул;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описание на дейностите и резултатите и индикативен план-график за изпълнение на дейност/артикул, в който са посочени сроковете за действие при възлагане от страна на Възложителя чрез възлагателно писмо;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графичен дизайн на дейностите/артикулите и/или помощните материали /напр. присъствени списъци за събитията, поканите и др./ за изпълнение на дейностите, които следва да бъдат предоставени на Възложителя при изпълнение на договора.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before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Допълнително Участникът е предложил концепция за организация на персонала, при която са налични следните обстоятелства: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before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За всяка от дейностите/артикулите е показано разпределението по персонала (кой какво ще изпълнява) на ниво отделна задача </w:t>
            </w:r>
            <w:r w:rsidRPr="002125F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2125F4" w:rsidRPr="002125F4" w:rsidTr="00AA6D48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25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Предложената от участника организация на персонала осигурява изпълнението на следните минимални изисквания на Възложителя, а именно: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8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предложил организация на персонала, посочил е как се разпределят отговорностите и дейностите между експертите за времето от получаване на възлагателно писмо от Възложителя до предоставянето на съответната дейност/артикул;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описание на дейностите и резултатите и индикативен план-график за изпълнение на дейност/артикул, в който са посочени сроковете за действие при възлагане от страна на Възложителя чрез възлагателно писмо;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графичен дизайн на дейностите/артикулите и/или помощните материали /напр. присъствени списъци за събитията, поканите и др./ за изпълнение на дейностите, които следва да бъдат предоставени на Възложителя при изпълнение на договора.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before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Допълнително Участникът е предложил концепция за организация на персонала, при която са налични следните обстоятелства: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before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За всяка от дейностите/артикулите е показано разпределението по персонала (кой какво ще изпълнява) на ниво отделна задача </w:t>
            </w:r>
            <w:r w:rsidRPr="002125F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before="240" w:after="240" w:line="276" w:lineRule="auto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За всяка дейност/артикул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експерт/и.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2125F4" w:rsidRPr="002125F4" w:rsidTr="00AA6D48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25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Предложената от участника организация на персонала осигурява изпълнението на следните минимални изисквания на Възложителя, а именно: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8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предложил организация на персонала, посочил е как се разпределят отговорностите и дейностите между експертите за времето от получаване на възлагателно писмо от Възложителя до предоставянето на съответната дейност/артикул;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описание на дейностите и резултатите и индикативен план-график за изпълнение на дейност/артикул, в който са посочени сроковете за действие при възлагане от страна на Възложителя чрез възлагателно писмо;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графичен дизайн на дейностите/артикулите и/или помощните материали /напр. присъствени списъци за събитията, поканите и др./ за изпълнение на дейностите, които следва да бъдат предоставени на Възложителя при изпълнение на договора.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Допълнително Участникът е предложил концепция за организация на персонала, при която са налични следните обстоятелства: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За всяка от дейностите/артикулите е показано разпределението по персонала (кой какво ще изпълнява) на ниво отделна задача </w:t>
            </w:r>
            <w:r w:rsidRPr="002125F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За всяка дейност/артикул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експерт/и.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after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Предложени са мерки за вътрешен контрол и организация на екипа от експерти, с които да се гарантира качествено изпълнение на поръчката.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40</w:t>
            </w:r>
          </w:p>
        </w:tc>
      </w:tr>
      <w:tr w:rsidR="002125F4" w:rsidRPr="002125F4" w:rsidTr="00AA6D48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25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Предложената от участника организация на персонала осигурява изпълнението на следните минимални изисквания на Възложителя, а именно: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before="18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участникът е предложил организация на персонала, посочил е как се разпределят отговорностите и дейностите между експертите за времето от получаване на възлагателно писмо от Възложителя до 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предоставянето на съответната дейност/артикул;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before="120" w:after="24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описание на дейностите и резултатите и индикативен план-график за изпълнение на дейност/артикул, в който са посочени сроковете за действие при възлагане от страна на Възложителя чрез възлагателно писмо;</w:t>
            </w:r>
          </w:p>
          <w:p w:rsidR="002125F4" w:rsidRPr="002125F4" w:rsidRDefault="002125F4" w:rsidP="002125F4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участникът е представил графичен дизайн на дейностите/артикулите и/или помощните материали /напр. присъствени списъци за събитията, поканите и др./ за изпълнение на дейностите, които следва да бъдат предоставени на Възложителя при изпълнение на договора.</w:t>
            </w:r>
          </w:p>
          <w:p w:rsidR="002125F4" w:rsidRPr="002125F4" w:rsidRDefault="002125F4" w:rsidP="002125F4">
            <w:pPr>
              <w:widowControl w:val="0"/>
              <w:tabs>
                <w:tab w:val="left" w:pos="173"/>
              </w:tabs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Допълнително Участникът е предложил концепция за организация на персонала, при която са налични следните обстоятелства: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За всяка от дейностите/артикулите е показано разпределението по персонала (кой какво ще изпълнява) на ниво отделна задача </w:t>
            </w:r>
            <w:r w:rsidRPr="002125F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За всяка дейност/артикул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експерт/и.</w:t>
            </w:r>
          </w:p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Предложени са мерки за вътрешен контрол и организация на екипа от експерти, с които да се гарантира качествено изпълнение на поръчката.</w:t>
            </w:r>
          </w:p>
          <w:p w:rsidR="002125F4" w:rsidRPr="002125F4" w:rsidRDefault="002125F4" w:rsidP="002125F4">
            <w:pPr>
              <w:widowControl w:val="0"/>
              <w:tabs>
                <w:tab w:val="left" w:pos="173"/>
              </w:tabs>
              <w:spacing w:after="240"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 Предложени са </w:t>
            </w:r>
            <w:r w:rsidRPr="002125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средства/форми за безпроблемна комуникация, координация 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и съгласуване с Възложителя на дейностите/артикулите и други организационни аспекти, които са необходими за качественото и срочно изпълнение на възложената услуга.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4" w:rsidRPr="002125F4" w:rsidRDefault="002125F4" w:rsidP="002125F4">
            <w:pPr>
              <w:widowControl w:val="0"/>
              <w:tabs>
                <w:tab w:val="left" w:pos="289"/>
              </w:tabs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     5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</w:tbl>
    <w:p w:rsidR="002125F4" w:rsidRPr="002125F4" w:rsidRDefault="002125F4" w:rsidP="002125F4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Чрез под-показателят 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ТО</w:t>
      </w:r>
      <w:r w:rsidRPr="00212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 xml:space="preserve"> „Професионална компетентност на персонала, на който е възложено изпълнението на поръчката“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 се оценява професионалната компетентност на ключовите експерти, които следва да бъдат предложени от участника за изпълнение на поръчката. </w:t>
      </w:r>
    </w:p>
    <w:p w:rsidR="002125F4" w:rsidRPr="002125F4" w:rsidRDefault="002125F4" w:rsidP="002125F4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25F4">
        <w:rPr>
          <w:rFonts w:ascii="Times New Roman" w:eastAsia="Batang" w:hAnsi="Times New Roman" w:cs="Times New Roman"/>
          <w:sz w:val="24"/>
          <w:szCs w:val="24"/>
        </w:rPr>
        <w:tab/>
        <w:t>Базово изискване- всеки ключов експерт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 xml:space="preserve">, предложени от участника за изпълнение на поръчката следва да е участвал в изпълнението на минимум 1 /един/   договор/услуга/дейност 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за информация и комуникация и/или </w:t>
      </w:r>
      <w:r w:rsidRPr="002125F4">
        <w:rPr>
          <w:rFonts w:ascii="Times New Roman" w:eastAsia="Times New Roman" w:hAnsi="Times New Roman" w:cs="Times New Roman"/>
          <w:sz w:val="24"/>
          <w:szCs w:val="24"/>
        </w:rPr>
        <w:t>изработване на печатни/презентационни/информационни/рекламни материали</w:t>
      </w:r>
      <w:r w:rsidRPr="002125F4">
        <w:rPr>
          <w:rFonts w:ascii="Times New Roman" w:eastAsia="Batang" w:hAnsi="Times New Roman" w:cs="Times New Roman"/>
          <w:sz w:val="24"/>
          <w:szCs w:val="24"/>
        </w:rPr>
        <w:t xml:space="preserve"> като експерт </w:t>
      </w:r>
      <w:r w:rsidRPr="002125F4">
        <w:rPr>
          <w:rFonts w:ascii="Times New Roman" w:eastAsia="Batang" w:hAnsi="Times New Roman" w:cs="Times New Roman"/>
          <w:b/>
          <w:sz w:val="24"/>
          <w:szCs w:val="24"/>
        </w:rPr>
        <w:t>на съответната позиция.</w:t>
      </w:r>
    </w:p>
    <w:p w:rsidR="002125F4" w:rsidRPr="002125F4" w:rsidRDefault="002125F4" w:rsidP="002125F4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1"/>
        <w:gridCol w:w="1611"/>
      </w:tblGrid>
      <w:tr w:rsidR="002125F4" w:rsidRPr="002125F4" w:rsidTr="00AA6D48">
        <w:tc>
          <w:tcPr>
            <w:tcW w:w="7316" w:type="dxa"/>
            <w:shd w:val="clear" w:color="auto" w:fill="A6A6A6"/>
            <w:vAlign w:val="center"/>
          </w:tcPr>
          <w:p w:rsidR="002125F4" w:rsidRPr="002125F4" w:rsidRDefault="002125F4" w:rsidP="002125F4">
            <w:pPr>
              <w:widowControl w:val="0"/>
              <w:tabs>
                <w:tab w:val="left" w:pos="70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Методика за определяне на оценката по показател ТО2 професионална компетентност на ключовите експерти</w:t>
            </w:r>
          </w:p>
        </w:tc>
        <w:tc>
          <w:tcPr>
            <w:tcW w:w="1611" w:type="dxa"/>
            <w:shd w:val="clear" w:color="auto" w:fill="A6A6A6"/>
          </w:tcPr>
          <w:p w:rsidR="002125F4" w:rsidRPr="002125F4" w:rsidRDefault="002125F4" w:rsidP="002125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Максимален брой точки </w:t>
            </w:r>
          </w:p>
        </w:tc>
      </w:tr>
      <w:tr w:rsidR="002125F4" w:rsidRPr="002125F4" w:rsidTr="00AA6D48">
        <w:tc>
          <w:tcPr>
            <w:tcW w:w="7316" w:type="dxa"/>
          </w:tcPr>
          <w:p w:rsidR="002125F4" w:rsidRPr="002125F4" w:rsidRDefault="002125F4" w:rsidP="002125F4">
            <w:pPr>
              <w:widowControl w:val="0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-  при покриване на базово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>изискване– 4 точки</w:t>
            </w:r>
          </w:p>
          <w:p w:rsidR="002125F4" w:rsidRPr="002125F4" w:rsidRDefault="002125F4" w:rsidP="002125F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за участие на експерт в изпълнение на всеки един </w:t>
            </w: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договор/услуга/дейност</w:t>
            </w:r>
            <w:r w:rsidRPr="002125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над базовите изисквания 1 т.</w:t>
            </w: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;</w:t>
            </w:r>
          </w:p>
          <w:p w:rsidR="002125F4" w:rsidRPr="002125F4" w:rsidRDefault="002125F4" w:rsidP="002125F4">
            <w:pPr>
              <w:widowControl w:val="0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2125F4" w:rsidRPr="002125F4" w:rsidRDefault="002125F4" w:rsidP="002125F4">
            <w:pPr>
              <w:widowControl w:val="0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максимален брой точки 10</w:t>
            </w:r>
          </w:p>
          <w:p w:rsidR="002125F4" w:rsidRPr="002125F4" w:rsidRDefault="002125F4" w:rsidP="002125F4">
            <w:pPr>
              <w:widowControl w:val="0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125F4" w:rsidRPr="002125F4" w:rsidRDefault="002125F4" w:rsidP="002125F4">
            <w:pPr>
              <w:widowControl w:val="0"/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125F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2125F4" w:rsidRPr="002125F4" w:rsidRDefault="002125F4" w:rsidP="002125F4">
      <w:pPr>
        <w:widowControl w:val="0"/>
        <w:tabs>
          <w:tab w:val="left" w:pos="706"/>
        </w:tabs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2125F4" w:rsidRPr="002125F4" w:rsidRDefault="002125F4" w:rsidP="002125F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 </w:t>
      </w:r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>Ще</w:t>
      </w:r>
      <w:r w:rsidRPr="00212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бъдат предложени за отстраняване</w:t>
      </w:r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няма да бъдат оценявани предложения в случаите, в които е налице поне едно от следните условия/подусловия:</w:t>
      </w:r>
    </w:p>
    <w:p w:rsidR="002125F4" w:rsidRPr="002125F4" w:rsidRDefault="002125F4" w:rsidP="002125F4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>Не е отговорено на предварително обявените условия на поръчката, посочени в обявлението и/или документацията за участие, съгласно чл. 107, т. 2, буква „а“ от ЗОП, в т.ч. минималните изисквания на Възложителя за съответния подпоказател; приложимото законодателство и/или действащи норми и стандарти /вкл. когато предложената от участника организация на персонала противоречи на административния договор за финансиране на проекта и неговите приложения (образец на договор и приложенията могат да бъдат намерени на адрес</w:t>
      </w:r>
      <w:hyperlink r:id="rId7" w:history="1">
        <w:r w:rsidRPr="002125F4"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</w:rPr>
          <w:t xml:space="preserve"> </w:t>
        </w:r>
        <w:r w:rsidRPr="002125F4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u w:val="single"/>
          </w:rPr>
          <w:t xml:space="preserve">www.bgregio.eu </w:t>
        </w:r>
      </w:hyperlink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hyperlink r:id="rId8" w:history="1">
        <w:r w:rsidRPr="002125F4"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</w:rPr>
          <w:t>https://eumis2020.government.bg/ или на сайта на ОПРР http://www.bgregio.eu/shemi/117/oprr--oprd--mrr.aspx)</w:t>
        </w:r>
      </w:hyperlink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>, писмени указания на УО на ОПРР 2014 - 2020 или на друг нормативен акт/; предмета на обществената поръчка /вкл. е установено наличието на информация, която може да бъде отнесена към изпълнението на обществени поръчки с различен предмет или обхват/; други условия/изисквания на Възложителя, посочени в обявлението и/или документацията за участие /вкл. ако предложението не включва всички дейности, които потенциалният изпълнител е длъжен да извърши съгласно техническото задание или дизайнът не е съобразен с Единния наръчник на бенефициента за прилагане на правилата за информация и комуникация 2014-2020/.</w:t>
      </w:r>
    </w:p>
    <w:p w:rsidR="002125F4" w:rsidRPr="002125F4" w:rsidRDefault="002125F4" w:rsidP="002125F4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i/>
          <w:sz w:val="24"/>
          <w:szCs w:val="24"/>
        </w:rPr>
        <w:t>Липсва подпоказател /част от Предложението за изпълнение на поръчката/ или елемент/и на подпоказател, така че да не е отговорено на нито една от посочените конфигурации, подлежащи на оценка.</w:t>
      </w:r>
    </w:p>
    <w:p w:rsidR="002125F4" w:rsidRPr="002125F4" w:rsidRDefault="002125F4" w:rsidP="002125F4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25F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Предложеният/ите експерт/и няма/т съответното образование или релевантен опит, съгласно техническата спецификация и не покриват базовото изискване</w:t>
      </w:r>
    </w:p>
    <w:p w:rsidR="002125F4" w:rsidRPr="002125F4" w:rsidRDefault="002125F4" w:rsidP="002125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5F4" w:rsidRPr="002125F4" w:rsidRDefault="002125F4" w:rsidP="002125F4">
      <w:pPr>
        <w:widowControl w:val="0"/>
        <w:spacing w:after="202" w:line="276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ФИНАНСОВА ОЦЕНКА НА ОФЕРТАТА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805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Cs/>
          <w:sz w:val="24"/>
          <w:szCs w:val="24"/>
        </w:rPr>
        <w:t>Финансовата оценка за всеки отделен участник в процедурата се извършва съгласно следната формула:</w:t>
      </w:r>
    </w:p>
    <w:p w:rsidR="002125F4" w:rsidRPr="002125F4" w:rsidRDefault="002125F4" w:rsidP="002125F4">
      <w:pPr>
        <w:widowControl w:val="0"/>
        <w:tabs>
          <w:tab w:val="left" w:pos="805"/>
        </w:tabs>
        <w:spacing w:line="276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5F4" w:rsidRPr="002125F4" w:rsidRDefault="002125F4" w:rsidP="002125F4">
      <w:pPr>
        <w:widowControl w:val="0"/>
        <w:spacing w:after="228" w:line="276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Цmin</w:t>
      </w:r>
    </w:p>
    <w:p w:rsidR="002125F4" w:rsidRPr="002125F4" w:rsidRDefault="002125F4" w:rsidP="002125F4">
      <w:pPr>
        <w:widowControl w:val="0"/>
        <w:tabs>
          <w:tab w:val="right" w:leader="hyphen" w:pos="6447"/>
          <w:tab w:val="right" w:pos="6623"/>
        </w:tabs>
        <w:spacing w:after="233" w:line="276" w:lineRule="auto"/>
        <w:ind w:left="360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ФО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40,</w:t>
      </w:r>
    </w:p>
    <w:p w:rsidR="002125F4" w:rsidRPr="002125F4" w:rsidRDefault="002125F4" w:rsidP="002125F4">
      <w:pPr>
        <w:widowControl w:val="0"/>
        <w:spacing w:after="17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Ц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:rsidR="002125F4" w:rsidRPr="002125F4" w:rsidRDefault="002125F4" w:rsidP="002125F4">
      <w:pPr>
        <w:widowControl w:val="0"/>
        <w:spacing w:after="233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където:</w:t>
      </w:r>
    </w:p>
    <w:p w:rsidR="002125F4" w:rsidRPr="002125F4" w:rsidRDefault="002125F4" w:rsidP="002125F4">
      <w:pPr>
        <w:widowControl w:val="0"/>
        <w:spacing w:after="233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5F4" w:rsidRPr="002125F4" w:rsidRDefault="002125F4" w:rsidP="002125F4">
      <w:pPr>
        <w:widowControl w:val="0"/>
        <w:spacing w:after="17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финансовата оценка на предложението на участника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N;</w:t>
      </w:r>
    </w:p>
    <w:p w:rsidR="002125F4" w:rsidRPr="002125F4" w:rsidRDefault="002125F4" w:rsidP="002125F4">
      <w:pPr>
        <w:widowControl w:val="0"/>
        <w:spacing w:after="242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Цmin е най-ниската предложена от участник в процедурата цена (в лева, без ДДС);</w:t>
      </w:r>
    </w:p>
    <w:p w:rsidR="002125F4" w:rsidRPr="002125F4" w:rsidRDefault="002125F4" w:rsidP="002125F4">
      <w:pPr>
        <w:widowControl w:val="0"/>
        <w:spacing w:after="19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предложената от участника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N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(в лева, без ДДС).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805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Максималната стойност на ФО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40 точки и се дава на участника, предложил най-ниска цена.</w:t>
      </w:r>
    </w:p>
    <w:p w:rsidR="002125F4" w:rsidRPr="002125F4" w:rsidRDefault="002125F4" w:rsidP="002125F4">
      <w:pPr>
        <w:widowControl w:val="0"/>
        <w:tabs>
          <w:tab w:val="left" w:pos="805"/>
        </w:tabs>
        <w:spacing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125F4" w:rsidRPr="002125F4" w:rsidRDefault="002125F4" w:rsidP="002125F4">
      <w:pPr>
        <w:widowControl w:val="0"/>
        <w:tabs>
          <w:tab w:val="left" w:pos="805"/>
        </w:tabs>
        <w:spacing w:line="276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125F4" w:rsidRPr="002125F4" w:rsidRDefault="002125F4" w:rsidP="002125F4">
      <w:pPr>
        <w:widowControl w:val="0"/>
        <w:numPr>
          <w:ilvl w:val="0"/>
          <w:numId w:val="3"/>
        </w:numPr>
        <w:tabs>
          <w:tab w:val="left" w:pos="913"/>
        </w:tabs>
        <w:spacing w:before="120" w:after="206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КОМПЛЕКСНА ОЦЕНКА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805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Cs/>
          <w:sz w:val="24"/>
          <w:szCs w:val="24"/>
        </w:rPr>
        <w:t>Комплексната оценка се изчислява за всеки отделен участник по следния начин:</w:t>
      </w:r>
    </w:p>
    <w:p w:rsidR="002125F4" w:rsidRPr="002125F4" w:rsidRDefault="002125F4" w:rsidP="002125F4">
      <w:pPr>
        <w:widowControl w:val="0"/>
        <w:spacing w:after="206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lang w:bidi="en-US"/>
        </w:rPr>
        <w:t>КО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vertAlign w:val="subscript"/>
          <w:lang w:bidi="en-US"/>
        </w:rPr>
        <w:t xml:space="preserve">n 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lang w:bidi="bg-BG"/>
        </w:rPr>
        <w:t xml:space="preserve">= 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lang w:bidi="en-US"/>
        </w:rPr>
        <w:t>TO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vertAlign w:val="subscript"/>
          <w:lang w:bidi="en-US"/>
        </w:rPr>
        <w:t>n</w:t>
      </w:r>
      <w:r w:rsidRPr="002125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+ ФО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25F4" w:rsidRPr="002125F4" w:rsidRDefault="002125F4" w:rsidP="002125F4">
      <w:pPr>
        <w:widowControl w:val="0"/>
        <w:numPr>
          <w:ilvl w:val="0"/>
          <w:numId w:val="1"/>
        </w:numPr>
        <w:tabs>
          <w:tab w:val="left" w:pos="1165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Cs/>
          <w:sz w:val="24"/>
          <w:szCs w:val="24"/>
        </w:rPr>
        <w:t>Когато получените оценки (комплексна, техническа или финансова) не са цели числа, а десетични дроби, те следва да се закръглят до втория знак след десетичната запетая.</w:t>
      </w:r>
    </w:p>
    <w:p w:rsidR="002125F4" w:rsidRPr="002125F4" w:rsidRDefault="002125F4" w:rsidP="002125F4">
      <w:pPr>
        <w:widowControl w:val="0"/>
        <w:tabs>
          <w:tab w:val="left" w:pos="1165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5F4" w:rsidRPr="002125F4" w:rsidRDefault="002125F4" w:rsidP="002125F4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Максималната стойност на 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lang w:bidi="en-US"/>
        </w:rPr>
        <w:t>КО</w:t>
      </w:r>
      <w:r w:rsidRPr="002125F4">
        <w:rPr>
          <w:rFonts w:ascii="Times New Roman" w:eastAsia="Batang" w:hAnsi="Times New Roman" w:cs="Times New Roman"/>
          <w:b/>
          <w:smallCaps/>
          <w:color w:val="000000"/>
          <w:sz w:val="24"/>
          <w:szCs w:val="24"/>
          <w:vertAlign w:val="subscript"/>
          <w:lang w:bidi="en-US"/>
        </w:rPr>
        <w:t>n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125F4">
        <w:rPr>
          <w:rFonts w:ascii="Times New Roman" w:eastAsia="Times New Roman" w:hAnsi="Times New Roman" w:cs="Times New Roman"/>
          <w:b/>
          <w:bCs/>
          <w:sz w:val="24"/>
          <w:szCs w:val="24"/>
        </w:rPr>
        <w:t>е 100 точки.</w:t>
      </w:r>
    </w:p>
    <w:p w:rsidR="00D610AC" w:rsidRDefault="00D610AC">
      <w:bookmarkStart w:id="0" w:name="_GoBack"/>
      <w:bookmarkEnd w:id="0"/>
    </w:p>
    <w:sectPr w:rsidR="00D6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1A" w:rsidRDefault="006A451A" w:rsidP="002125F4">
      <w:pPr>
        <w:spacing w:after="0" w:line="240" w:lineRule="auto"/>
      </w:pPr>
      <w:r>
        <w:separator/>
      </w:r>
    </w:p>
  </w:endnote>
  <w:endnote w:type="continuationSeparator" w:id="0">
    <w:p w:rsidR="006A451A" w:rsidRDefault="006A451A" w:rsidP="0021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1A" w:rsidRDefault="006A451A" w:rsidP="002125F4">
      <w:pPr>
        <w:spacing w:after="0" w:line="240" w:lineRule="auto"/>
      </w:pPr>
      <w:r>
        <w:separator/>
      </w:r>
    </w:p>
  </w:footnote>
  <w:footnote w:type="continuationSeparator" w:id="0">
    <w:p w:rsidR="006A451A" w:rsidRDefault="006A451A" w:rsidP="002125F4">
      <w:pPr>
        <w:spacing w:after="0" w:line="240" w:lineRule="auto"/>
      </w:pPr>
      <w:r>
        <w:continuationSeparator/>
      </w:r>
    </w:p>
  </w:footnote>
  <w:footnote w:id="1">
    <w:p w:rsidR="002125F4" w:rsidRPr="00905AED" w:rsidRDefault="002125F4" w:rsidP="002125F4">
      <w:pPr>
        <w:tabs>
          <w:tab w:val="left" w:pos="106"/>
        </w:tabs>
        <w:rPr>
          <w:sz w:val="18"/>
          <w:szCs w:val="18"/>
        </w:rPr>
      </w:pPr>
      <w:r w:rsidRPr="007E603C">
        <w:rPr>
          <w:color w:val="000000"/>
          <w:sz w:val="18"/>
          <w:szCs w:val="18"/>
          <w:vertAlign w:val="superscript"/>
          <w:lang w:bidi="bg-BG"/>
        </w:rPr>
        <w:footnoteRef/>
      </w:r>
      <w:r w:rsidRPr="00905AED">
        <w:rPr>
          <w:sz w:val="18"/>
          <w:szCs w:val="18"/>
        </w:rPr>
        <w:tab/>
        <w:t xml:space="preserve">Участникът </w:t>
      </w:r>
      <w:r w:rsidRPr="007E603C">
        <w:rPr>
          <w:rStyle w:val="Footnote3"/>
          <w:i w:val="0"/>
          <w:iCs/>
          <w:sz w:val="18"/>
          <w:szCs w:val="18"/>
        </w:rPr>
        <w:t>трябва да предостави подробна информация за разпределението на времето и човешките ресурси за всяка дейност/артикул</w:t>
      </w:r>
      <w:r>
        <w:rPr>
          <w:rStyle w:val="Footnote3"/>
          <w:i w:val="0"/>
          <w:iCs/>
          <w:sz w:val="18"/>
          <w:szCs w:val="18"/>
        </w:rPr>
        <w:t>, като</w:t>
      </w:r>
      <w:r w:rsidRPr="007E603C">
        <w:rPr>
          <w:rStyle w:val="Footnote3"/>
          <w:i w:val="0"/>
          <w:iCs/>
          <w:sz w:val="18"/>
          <w:szCs w:val="18"/>
        </w:rPr>
        <w:t xml:space="preserve"> обоснов</w:t>
      </w:r>
      <w:r>
        <w:rPr>
          <w:rStyle w:val="Footnote3"/>
          <w:i w:val="0"/>
          <w:iCs/>
          <w:sz w:val="18"/>
          <w:szCs w:val="18"/>
        </w:rPr>
        <w:t>е</w:t>
      </w:r>
      <w:r w:rsidRPr="007E603C">
        <w:rPr>
          <w:rStyle w:val="Footnote3"/>
          <w:i w:val="0"/>
          <w:iCs/>
          <w:sz w:val="18"/>
          <w:szCs w:val="18"/>
        </w:rPr>
        <w:t xml:space="preserve"> избор</w:t>
      </w:r>
      <w:r>
        <w:rPr>
          <w:rStyle w:val="Footnote3"/>
          <w:i w:val="0"/>
          <w:iCs/>
          <w:sz w:val="18"/>
          <w:szCs w:val="18"/>
        </w:rPr>
        <w:t>а</w:t>
      </w:r>
      <w:r w:rsidRPr="007E603C">
        <w:rPr>
          <w:rStyle w:val="Footnote3"/>
          <w:i w:val="0"/>
          <w:iCs/>
          <w:sz w:val="18"/>
          <w:szCs w:val="18"/>
        </w:rPr>
        <w:t xml:space="preserve"> на това разпределени</w:t>
      </w:r>
      <w:r>
        <w:rPr>
          <w:rStyle w:val="Footnote3"/>
          <w:i w:val="0"/>
          <w:iCs/>
          <w:sz w:val="18"/>
          <w:szCs w:val="18"/>
        </w:rPr>
        <w:t>е за постигане на заложените крайни резултати</w:t>
      </w:r>
      <w:r w:rsidRPr="007E603C">
        <w:rPr>
          <w:rStyle w:val="Footnote3"/>
          <w:i w:val="0"/>
          <w:iCs/>
          <w:sz w:val="18"/>
          <w:szCs w:val="18"/>
        </w:rPr>
        <w:t>.</w:t>
      </w:r>
      <w:r>
        <w:rPr>
          <w:rStyle w:val="Footnote3"/>
          <w:i w:val="0"/>
          <w:iCs/>
          <w:sz w:val="18"/>
          <w:szCs w:val="18"/>
        </w:rPr>
        <w:t xml:space="preserve"> </w:t>
      </w:r>
      <w:r w:rsidRPr="00905AED">
        <w:rPr>
          <w:rFonts w:eastAsia="Batang"/>
          <w:sz w:val="18"/>
          <w:szCs w:val="18"/>
        </w:rPr>
        <w:t>„Обосновава“</w:t>
      </w:r>
      <w:r>
        <w:rPr>
          <w:rFonts w:eastAsia="Batang"/>
          <w:sz w:val="18"/>
          <w:szCs w:val="18"/>
        </w:rPr>
        <w:t xml:space="preserve"> </w:t>
      </w:r>
      <w:r w:rsidRPr="00905AED">
        <w:rPr>
          <w:rFonts w:eastAsia="Batang"/>
          <w:sz w:val="18"/>
          <w:szCs w:val="18"/>
        </w:rPr>
        <w:t>за целите на настоящата методика, означава обяснение за приложимостта и полезността на предложените дейности</w:t>
      </w:r>
      <w:r>
        <w:rPr>
          <w:rFonts w:eastAsia="Batang"/>
          <w:sz w:val="18"/>
          <w:szCs w:val="18"/>
        </w:rPr>
        <w:t>/действия</w:t>
      </w:r>
      <w:r w:rsidRPr="00905AED">
        <w:rPr>
          <w:rFonts w:eastAsia="Batang"/>
          <w:sz w:val="18"/>
          <w:szCs w:val="18"/>
        </w:rPr>
        <w:t xml:space="preserve"> при изпълнението на поръчката.</w:t>
      </w:r>
    </w:p>
    <w:p w:rsidR="002125F4" w:rsidRPr="00905AED" w:rsidRDefault="002125F4" w:rsidP="002125F4">
      <w:pPr>
        <w:pStyle w:val="Footnote0"/>
        <w:shd w:val="clear" w:color="auto" w:fill="aut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0D22"/>
    <w:multiLevelType w:val="multilevel"/>
    <w:tmpl w:val="099262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5AF1ABE"/>
    <w:multiLevelType w:val="multilevel"/>
    <w:tmpl w:val="3686072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F5C7BC7"/>
    <w:multiLevelType w:val="multilevel"/>
    <w:tmpl w:val="A654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B"/>
    <w:rsid w:val="002125F4"/>
    <w:rsid w:val="0031147B"/>
    <w:rsid w:val="005C305C"/>
    <w:rsid w:val="006A451A"/>
    <w:rsid w:val="00D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5FFB-3092-4267-A767-8FFF345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3">
    <w:name w:val="Footnote (3)"/>
    <w:rsid w:val="002125F4"/>
    <w:rPr>
      <w:rFonts w:ascii="Calibri" w:hAnsi="Calibri"/>
      <w:i/>
      <w:color w:val="1C1C1C"/>
      <w:spacing w:val="0"/>
      <w:w w:val="100"/>
      <w:position w:val="0"/>
      <w:sz w:val="17"/>
      <w:u w:val="none"/>
      <w:lang w:val="bg-BG" w:eastAsia="bg-BG"/>
    </w:rPr>
  </w:style>
  <w:style w:type="character" w:customStyle="1" w:styleId="Footnote">
    <w:name w:val="Footnote_"/>
    <w:link w:val="Footnote0"/>
    <w:locked/>
    <w:rsid w:val="002125F4"/>
    <w:rPr>
      <w:i/>
      <w:sz w:val="16"/>
      <w:shd w:val="clear" w:color="auto" w:fill="FFFFFF"/>
    </w:rPr>
  </w:style>
  <w:style w:type="paragraph" w:customStyle="1" w:styleId="Footnote0">
    <w:name w:val="Footnote"/>
    <w:basedOn w:val="Normal"/>
    <w:link w:val="Footnote"/>
    <w:rsid w:val="002125F4"/>
    <w:pPr>
      <w:widowControl w:val="0"/>
      <w:shd w:val="clear" w:color="auto" w:fill="FFFFFF"/>
      <w:spacing w:before="120" w:after="120" w:line="211" w:lineRule="exact"/>
      <w:jc w:val="both"/>
    </w:pPr>
    <w:rPr>
      <w:i/>
      <w:sz w:val="16"/>
      <w:shd w:val="clear" w:color="auto" w:fill="FFFFFF"/>
    </w:rPr>
  </w:style>
  <w:style w:type="paragraph" w:customStyle="1" w:styleId="CharChar15CharChar">
    <w:name w:val=" Char Char15 Char Char"/>
    <w:basedOn w:val="Normal"/>
    <w:rsid w:val="002125F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%20&#1080;&#1083;&#1080;%20&#1085;&#1072;%20&#1089;&#1072;&#1081;&#1090;&#1072;%20&#1085;&#1072;%20&#1054;&#1055;&#1056;&#1056;%20http:/www.bgregio.eu/shemi/117/oprr--oprd--mrr.aspx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regi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DMladenova</dc:creator>
  <cp:keywords/>
  <dc:description/>
  <cp:lastModifiedBy>DMladenova</cp:lastModifiedBy>
  <cp:revision>2</cp:revision>
  <dcterms:created xsi:type="dcterms:W3CDTF">2018-06-07T07:33:00Z</dcterms:created>
  <dcterms:modified xsi:type="dcterms:W3CDTF">2018-06-07T07:33:00Z</dcterms:modified>
</cp:coreProperties>
</file>