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B77C69" w:rsidRDefault="00376E6A" w:rsidP="00D4680C">
      <w:pPr>
        <w:spacing w:before="120"/>
        <w:jc w:val="right"/>
        <w:rPr>
          <w:b/>
          <w:sz w:val="22"/>
          <w:szCs w:val="22"/>
          <w:lang w:val="bg-BG" w:eastAsia="ru-RU"/>
        </w:rPr>
      </w:pPr>
      <w:bookmarkStart w:id="0" w:name="_Toc447632538"/>
      <w:r w:rsidRPr="00B77C69">
        <w:rPr>
          <w:b/>
          <w:sz w:val="22"/>
          <w:szCs w:val="22"/>
          <w:lang w:val="bg-BG" w:eastAsia="ru-RU"/>
        </w:rPr>
        <w:t xml:space="preserve">Приложение № </w:t>
      </w:r>
      <w:bookmarkEnd w:id="0"/>
      <w:r w:rsidR="00E1047D" w:rsidRPr="00B77C69">
        <w:rPr>
          <w:b/>
          <w:sz w:val="22"/>
          <w:szCs w:val="22"/>
          <w:lang w:val="bg-BG" w:eastAsia="ru-RU"/>
        </w:rPr>
        <w:t>1</w:t>
      </w:r>
    </w:p>
    <w:p w:rsidR="009067B8" w:rsidRPr="00B77C69" w:rsidRDefault="00A23CA7" w:rsidP="008B5CC8">
      <w:pPr>
        <w:spacing w:before="120"/>
        <w:jc w:val="right"/>
        <w:rPr>
          <w:bCs/>
          <w:sz w:val="22"/>
          <w:szCs w:val="22"/>
          <w:lang w:val="bg-BG" w:eastAsia="ru-RU"/>
        </w:rPr>
      </w:pPr>
      <w:r w:rsidRPr="00B77C69">
        <w:rPr>
          <w:bCs/>
          <w:sz w:val="22"/>
          <w:szCs w:val="22"/>
          <w:lang w:val="bg-BG" w:eastAsia="ru-RU"/>
        </w:rPr>
        <w:t>Към Инструкция за претендента</w:t>
      </w:r>
    </w:p>
    <w:tbl>
      <w:tblPr>
        <w:tblW w:w="10490" w:type="dxa"/>
        <w:tblInd w:w="-11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6946"/>
      </w:tblGrid>
      <w:tr w:rsidR="002F6B13" w:rsidRPr="00B77C69" w:rsidTr="00B77C69">
        <w:trPr>
          <w:cantSplit/>
        </w:trPr>
        <w:tc>
          <w:tcPr>
            <w:tcW w:w="10490" w:type="dxa"/>
            <w:gridSpan w:val="2"/>
            <w:tcBorders>
              <w:top w:val="nil"/>
              <w:left w:val="nil"/>
              <w:bottom w:val="single" w:sz="4" w:space="0" w:color="auto"/>
              <w:right w:val="nil"/>
            </w:tcBorders>
            <w:vAlign w:val="center"/>
          </w:tcPr>
          <w:p w:rsidR="003F1ACA" w:rsidRPr="00B77C69" w:rsidRDefault="00584CB7" w:rsidP="003F1ACA">
            <w:pPr>
              <w:pStyle w:val="a3"/>
              <w:spacing w:before="60" w:after="60"/>
              <w:rPr>
                <w:sz w:val="22"/>
                <w:szCs w:val="22"/>
                <w:lang w:val="bg-BG"/>
              </w:rPr>
            </w:pPr>
            <w:r w:rsidRPr="00B77C69">
              <w:rPr>
                <w:sz w:val="22"/>
                <w:szCs w:val="22"/>
                <w:lang w:val="bg-BG"/>
              </w:rPr>
              <w:t>Информация за тендера</w:t>
            </w:r>
            <w:r w:rsidR="00E70BD2" w:rsidRPr="00B77C69">
              <w:rPr>
                <w:sz w:val="22"/>
                <w:szCs w:val="22"/>
                <w:lang w:val="bg-BG"/>
              </w:rPr>
              <w:t xml:space="preserve"> </w:t>
            </w:r>
          </w:p>
        </w:tc>
      </w:tr>
      <w:tr w:rsidR="002F6B13" w:rsidRPr="00B77C69" w:rsidTr="00B77C69">
        <w:trPr>
          <w:cantSplit/>
        </w:trPr>
        <w:tc>
          <w:tcPr>
            <w:tcW w:w="10490" w:type="dxa"/>
            <w:gridSpan w:val="2"/>
            <w:tcBorders>
              <w:top w:val="single" w:sz="4" w:space="0" w:color="auto"/>
              <w:left w:val="single" w:sz="4" w:space="0" w:color="auto"/>
              <w:bottom w:val="single" w:sz="4" w:space="0" w:color="auto"/>
              <w:right w:val="single" w:sz="4" w:space="0" w:color="auto"/>
            </w:tcBorders>
            <w:vAlign w:val="center"/>
          </w:tcPr>
          <w:p w:rsidR="00CF5625" w:rsidRPr="00B77C69" w:rsidRDefault="00CF5625" w:rsidP="00D4680C">
            <w:pPr>
              <w:spacing w:before="60" w:after="60"/>
              <w:jc w:val="center"/>
              <w:rPr>
                <w:b/>
                <w:sz w:val="22"/>
                <w:szCs w:val="22"/>
                <w:lang w:val="bg-BG"/>
              </w:rPr>
            </w:pPr>
            <w:r w:rsidRPr="00B77C69">
              <w:rPr>
                <w:b/>
                <w:sz w:val="22"/>
                <w:szCs w:val="22"/>
                <w:lang w:val="bg-BG"/>
              </w:rPr>
              <w:t>I.  Общ</w:t>
            </w:r>
            <w:r w:rsidR="00584CB7" w:rsidRPr="00B77C69">
              <w:rPr>
                <w:b/>
                <w:sz w:val="22"/>
                <w:szCs w:val="22"/>
                <w:lang w:val="bg-BG"/>
              </w:rPr>
              <w:t>а информация</w:t>
            </w:r>
          </w:p>
        </w:tc>
      </w:tr>
      <w:tr w:rsidR="006D1179"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6D1179" w:rsidRPr="00B77C69" w:rsidRDefault="006D1179" w:rsidP="007E0C0A">
            <w:pPr>
              <w:pStyle w:val="a9"/>
              <w:numPr>
                <w:ilvl w:val="1"/>
                <w:numId w:val="4"/>
              </w:numPr>
              <w:tabs>
                <w:tab w:val="left" w:pos="460"/>
              </w:tabs>
              <w:spacing w:before="60" w:after="60"/>
              <w:ind w:left="0" w:firstLine="0"/>
              <w:rPr>
                <w:rFonts w:ascii="Times New Roman" w:hAnsi="Times New Roman"/>
                <w:sz w:val="22"/>
                <w:szCs w:val="22"/>
                <w:lang w:val="bg-BG"/>
              </w:rPr>
            </w:pPr>
            <w:r w:rsidRPr="00B77C69">
              <w:rPr>
                <w:rFonts w:ascii="Times New Roman" w:hAnsi="Times New Roman"/>
                <w:sz w:val="22"/>
                <w:szCs w:val="22"/>
                <w:lang w:val="bg-BG"/>
              </w:rPr>
              <w:t>Организатор на тендера</w:t>
            </w:r>
          </w:p>
        </w:tc>
        <w:tc>
          <w:tcPr>
            <w:tcW w:w="6946" w:type="dxa"/>
            <w:tcBorders>
              <w:top w:val="single" w:sz="4" w:space="0" w:color="auto"/>
              <w:left w:val="single" w:sz="4" w:space="0" w:color="auto"/>
              <w:bottom w:val="single" w:sz="4" w:space="0" w:color="auto"/>
              <w:right w:val="single" w:sz="4" w:space="0" w:color="auto"/>
            </w:tcBorders>
          </w:tcPr>
          <w:p w:rsidR="006D1179" w:rsidRPr="00B77C69" w:rsidRDefault="006D1179" w:rsidP="006D1179">
            <w:pPr>
              <w:tabs>
                <w:tab w:val="right" w:pos="7272"/>
              </w:tabs>
              <w:spacing w:before="60" w:after="60"/>
              <w:rPr>
                <w:strike/>
                <w:sz w:val="22"/>
                <w:szCs w:val="22"/>
                <w:lang w:val="bg-BG"/>
              </w:rPr>
            </w:pPr>
            <w:r w:rsidRPr="00B77C69">
              <w:rPr>
                <w:sz w:val="22"/>
                <w:szCs w:val="22"/>
                <w:lang w:val="bg-BG"/>
              </w:rPr>
              <w:t>„ЛУКОЙЛ Нефтохим Бургас“ АД</w:t>
            </w:r>
          </w:p>
        </w:tc>
      </w:tr>
      <w:tr w:rsidR="006D1179"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6D1179" w:rsidRPr="00B77C69" w:rsidRDefault="006D1179" w:rsidP="007E0C0A">
            <w:pPr>
              <w:pStyle w:val="a9"/>
              <w:numPr>
                <w:ilvl w:val="1"/>
                <w:numId w:val="4"/>
              </w:numPr>
              <w:tabs>
                <w:tab w:val="left" w:pos="460"/>
              </w:tabs>
              <w:spacing w:before="60" w:after="60"/>
              <w:ind w:left="0" w:firstLine="0"/>
              <w:contextualSpacing w:val="0"/>
              <w:rPr>
                <w:rFonts w:ascii="Times New Roman" w:hAnsi="Times New Roman"/>
                <w:sz w:val="22"/>
                <w:szCs w:val="22"/>
                <w:lang w:val="bg-BG"/>
              </w:rPr>
            </w:pPr>
            <w:r w:rsidRPr="00B77C69">
              <w:rPr>
                <w:rFonts w:ascii="Times New Roman" w:hAnsi="Times New Roman"/>
                <w:sz w:val="22"/>
                <w:szCs w:val="22"/>
                <w:lang w:val="bg-BG"/>
              </w:rPr>
              <w:t>Обект</w:t>
            </w:r>
          </w:p>
        </w:tc>
        <w:tc>
          <w:tcPr>
            <w:tcW w:w="6946" w:type="dxa"/>
            <w:tcBorders>
              <w:top w:val="single" w:sz="4" w:space="0" w:color="auto"/>
              <w:left w:val="single" w:sz="4" w:space="0" w:color="auto"/>
              <w:bottom w:val="single" w:sz="4" w:space="0" w:color="auto"/>
              <w:right w:val="single" w:sz="4" w:space="0" w:color="auto"/>
            </w:tcBorders>
          </w:tcPr>
          <w:p w:rsidR="006D1179" w:rsidRPr="00B77C69" w:rsidRDefault="006D1179" w:rsidP="00A71953">
            <w:pPr>
              <w:tabs>
                <w:tab w:val="right" w:pos="7272"/>
              </w:tabs>
              <w:spacing w:before="60" w:after="60"/>
              <w:rPr>
                <w:i/>
                <w:iCs/>
                <w:sz w:val="22"/>
                <w:szCs w:val="22"/>
                <w:lang w:val="bg-BG"/>
              </w:rPr>
            </w:pPr>
          </w:p>
        </w:tc>
      </w:tr>
      <w:tr w:rsidR="006D1179"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6D1179" w:rsidRPr="00B77C69" w:rsidRDefault="006D1179" w:rsidP="007E0C0A">
            <w:pPr>
              <w:pStyle w:val="a9"/>
              <w:numPr>
                <w:ilvl w:val="1"/>
                <w:numId w:val="4"/>
              </w:numPr>
              <w:tabs>
                <w:tab w:val="left" w:pos="460"/>
              </w:tabs>
              <w:spacing w:before="60" w:after="60"/>
              <w:ind w:left="0" w:firstLine="0"/>
              <w:contextualSpacing w:val="0"/>
              <w:rPr>
                <w:rFonts w:ascii="Times New Roman" w:hAnsi="Times New Roman"/>
                <w:sz w:val="22"/>
                <w:szCs w:val="22"/>
                <w:lang w:val="bg-BG"/>
              </w:rPr>
            </w:pPr>
            <w:r w:rsidRPr="00B77C69">
              <w:rPr>
                <w:rFonts w:ascii="Times New Roman" w:hAnsi="Times New Roman"/>
                <w:sz w:val="22"/>
                <w:szCs w:val="22"/>
                <w:lang w:val="bg-BG"/>
              </w:rPr>
              <w:t>Номер на тендера</w:t>
            </w:r>
          </w:p>
        </w:tc>
        <w:tc>
          <w:tcPr>
            <w:tcW w:w="6946" w:type="dxa"/>
            <w:tcBorders>
              <w:top w:val="single" w:sz="4" w:space="0" w:color="auto"/>
              <w:left w:val="single" w:sz="4" w:space="0" w:color="auto"/>
              <w:bottom w:val="single" w:sz="4" w:space="0" w:color="auto"/>
              <w:right w:val="single" w:sz="4" w:space="0" w:color="auto"/>
            </w:tcBorders>
          </w:tcPr>
          <w:p w:rsidR="006D1179" w:rsidRPr="00B77C69" w:rsidRDefault="006E15F2" w:rsidP="0018009F">
            <w:pPr>
              <w:tabs>
                <w:tab w:val="right" w:pos="7272"/>
              </w:tabs>
              <w:spacing w:before="60" w:after="60"/>
              <w:rPr>
                <w:bCs/>
                <w:sz w:val="22"/>
                <w:szCs w:val="22"/>
                <w:highlight w:val="yellow"/>
                <w:lang w:val="bg-BG"/>
              </w:rPr>
            </w:pPr>
            <w:r w:rsidRPr="006E15F2">
              <w:rPr>
                <w:bCs/>
                <w:sz w:val="22"/>
                <w:szCs w:val="22"/>
                <w:lang w:val="bg-BG"/>
              </w:rPr>
              <w:t>160874</w:t>
            </w:r>
          </w:p>
        </w:tc>
      </w:tr>
      <w:tr w:rsidR="006D1179" w:rsidRPr="00281E89" w:rsidTr="00B77C69">
        <w:trPr>
          <w:cantSplit/>
        </w:trPr>
        <w:tc>
          <w:tcPr>
            <w:tcW w:w="3544" w:type="dxa"/>
            <w:tcBorders>
              <w:top w:val="single" w:sz="4" w:space="0" w:color="auto"/>
              <w:left w:val="single" w:sz="4" w:space="0" w:color="auto"/>
              <w:bottom w:val="single" w:sz="4" w:space="0" w:color="auto"/>
              <w:right w:val="single" w:sz="4" w:space="0" w:color="auto"/>
            </w:tcBorders>
          </w:tcPr>
          <w:p w:rsidR="006D1179" w:rsidRPr="00B77C69" w:rsidRDefault="006D1179" w:rsidP="007E0C0A">
            <w:pPr>
              <w:pStyle w:val="a9"/>
              <w:numPr>
                <w:ilvl w:val="1"/>
                <w:numId w:val="4"/>
              </w:numPr>
              <w:tabs>
                <w:tab w:val="left" w:pos="460"/>
              </w:tabs>
              <w:spacing w:before="60" w:after="60"/>
              <w:ind w:left="0" w:firstLine="0"/>
              <w:contextualSpacing w:val="0"/>
              <w:rPr>
                <w:rFonts w:ascii="Times New Roman" w:hAnsi="Times New Roman"/>
                <w:sz w:val="22"/>
                <w:szCs w:val="22"/>
                <w:lang w:val="bg-BG"/>
              </w:rPr>
            </w:pPr>
            <w:r w:rsidRPr="00B77C69">
              <w:rPr>
                <w:rFonts w:ascii="Times New Roman" w:hAnsi="Times New Roman"/>
                <w:sz w:val="22"/>
                <w:szCs w:val="22"/>
                <w:lang w:val="bg-BG"/>
              </w:rPr>
              <w:t>Предмет на тендера</w:t>
            </w:r>
          </w:p>
        </w:tc>
        <w:tc>
          <w:tcPr>
            <w:tcW w:w="6946" w:type="dxa"/>
            <w:tcBorders>
              <w:top w:val="single" w:sz="4" w:space="0" w:color="auto"/>
              <w:left w:val="single" w:sz="4" w:space="0" w:color="auto"/>
              <w:bottom w:val="single" w:sz="4" w:space="0" w:color="auto"/>
              <w:right w:val="single" w:sz="4" w:space="0" w:color="auto"/>
            </w:tcBorders>
          </w:tcPr>
          <w:p w:rsidR="0026162F" w:rsidRPr="00B77C69" w:rsidRDefault="00313C14" w:rsidP="00313C14">
            <w:pPr>
              <w:tabs>
                <w:tab w:val="right" w:pos="7254"/>
              </w:tabs>
              <w:spacing w:before="60" w:after="60"/>
              <w:rPr>
                <w:bCs/>
                <w:i/>
                <w:iCs/>
                <w:sz w:val="22"/>
                <w:szCs w:val="22"/>
                <w:lang w:val="bg-BG"/>
              </w:rPr>
            </w:pPr>
            <w:r>
              <w:rPr>
                <w:sz w:val="22"/>
                <w:szCs w:val="22"/>
                <w:lang w:val="bg-BG" w:eastAsia="ru-RU"/>
              </w:rPr>
              <w:t xml:space="preserve">Основен ремонт и поддръжка на </w:t>
            </w:r>
            <w:r w:rsidR="0018009F">
              <w:rPr>
                <w:sz w:val="22"/>
                <w:szCs w:val="22"/>
                <w:lang w:val="bg-BG" w:eastAsia="ru-RU"/>
              </w:rPr>
              <w:t>специализирано оборудване в</w:t>
            </w:r>
            <w:r w:rsidR="00235C80" w:rsidRPr="00B77C69">
              <w:rPr>
                <w:sz w:val="22"/>
                <w:szCs w:val="22"/>
                <w:lang w:val="bg-BG" w:eastAsia="ru-RU"/>
              </w:rPr>
              <w:t xml:space="preserve"> ТЕЦ</w:t>
            </w:r>
            <w:r w:rsidR="0018009F">
              <w:rPr>
                <w:sz w:val="22"/>
                <w:szCs w:val="22"/>
                <w:lang w:val="bg-BG" w:eastAsia="ru-RU"/>
              </w:rPr>
              <w:t>.</w:t>
            </w:r>
          </w:p>
        </w:tc>
      </w:tr>
      <w:tr w:rsidR="00E9098E"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E9098E" w:rsidRPr="00B77C69" w:rsidRDefault="00E9098E" w:rsidP="007E0C0A">
            <w:pPr>
              <w:pStyle w:val="a9"/>
              <w:numPr>
                <w:ilvl w:val="1"/>
                <w:numId w:val="4"/>
              </w:numPr>
              <w:tabs>
                <w:tab w:val="left" w:pos="460"/>
              </w:tabs>
              <w:spacing w:before="60" w:after="60"/>
              <w:ind w:left="0" w:firstLine="0"/>
              <w:contextualSpacing w:val="0"/>
              <w:rPr>
                <w:rFonts w:ascii="Times New Roman" w:hAnsi="Times New Roman"/>
                <w:sz w:val="22"/>
                <w:szCs w:val="22"/>
                <w:lang w:val="bg-BG"/>
              </w:rPr>
            </w:pPr>
            <w:r w:rsidRPr="00B77C69">
              <w:rPr>
                <w:rFonts w:ascii="Times New Roman" w:hAnsi="Times New Roman"/>
                <w:sz w:val="22"/>
                <w:szCs w:val="22"/>
                <w:lang w:val="bg-BG"/>
              </w:rPr>
              <w:t xml:space="preserve">Вид на </w:t>
            </w:r>
            <w:proofErr w:type="spellStart"/>
            <w:r w:rsidRPr="00B77C69">
              <w:rPr>
                <w:rFonts w:ascii="Times New Roman" w:hAnsi="Times New Roman"/>
                <w:sz w:val="22"/>
                <w:szCs w:val="22"/>
                <w:lang w:val="bg-BG"/>
              </w:rPr>
              <w:t>тендера</w:t>
            </w:r>
            <w:proofErr w:type="spellEnd"/>
          </w:p>
        </w:tc>
        <w:tc>
          <w:tcPr>
            <w:tcW w:w="6946" w:type="dxa"/>
            <w:tcBorders>
              <w:top w:val="single" w:sz="4" w:space="0" w:color="auto"/>
              <w:left w:val="single" w:sz="4" w:space="0" w:color="auto"/>
              <w:bottom w:val="single" w:sz="4" w:space="0" w:color="auto"/>
              <w:right w:val="single" w:sz="4" w:space="0" w:color="auto"/>
            </w:tcBorders>
          </w:tcPr>
          <w:p w:rsidR="00E9098E" w:rsidRPr="00B77C69" w:rsidRDefault="00E9098E" w:rsidP="004A125A">
            <w:pPr>
              <w:tabs>
                <w:tab w:val="right" w:pos="7254"/>
              </w:tabs>
              <w:spacing w:before="60" w:after="60"/>
              <w:rPr>
                <w:i/>
                <w:iCs/>
                <w:sz w:val="22"/>
                <w:szCs w:val="22"/>
                <w:lang w:val="bg-BG"/>
              </w:rPr>
            </w:pPr>
            <w:r w:rsidRPr="00B77C69">
              <w:rPr>
                <w:sz w:val="22"/>
                <w:szCs w:val="22"/>
                <w:lang w:val="bg-BG"/>
              </w:rPr>
              <w:t>Открит, двуетапен</w:t>
            </w:r>
          </w:p>
        </w:tc>
      </w:tr>
      <w:tr w:rsidR="002E15DD" w:rsidRPr="00281E89" w:rsidTr="00B77C69">
        <w:trPr>
          <w:cantSplit/>
        </w:trPr>
        <w:tc>
          <w:tcPr>
            <w:tcW w:w="10490" w:type="dxa"/>
            <w:gridSpan w:val="2"/>
            <w:tcBorders>
              <w:top w:val="single" w:sz="4" w:space="0" w:color="auto"/>
              <w:left w:val="single" w:sz="4" w:space="0" w:color="auto"/>
              <w:bottom w:val="single" w:sz="4" w:space="0" w:color="auto"/>
              <w:right w:val="single" w:sz="4" w:space="0" w:color="auto"/>
            </w:tcBorders>
          </w:tcPr>
          <w:p w:rsidR="002E15DD" w:rsidRPr="00B77C69" w:rsidRDefault="002E15DD" w:rsidP="000745C4">
            <w:pPr>
              <w:tabs>
                <w:tab w:val="right" w:pos="7254"/>
              </w:tabs>
              <w:spacing w:before="60" w:after="60"/>
              <w:jc w:val="center"/>
              <w:rPr>
                <w:b/>
                <w:sz w:val="22"/>
                <w:szCs w:val="22"/>
                <w:lang w:val="bg-BG"/>
              </w:rPr>
            </w:pPr>
            <w:r w:rsidRPr="00B77C69">
              <w:rPr>
                <w:sz w:val="22"/>
                <w:szCs w:val="22"/>
                <w:lang w:val="ru-RU"/>
              </w:rPr>
              <w:br w:type="page"/>
            </w:r>
            <w:r w:rsidR="0049146E" w:rsidRPr="00B77C69">
              <w:rPr>
                <w:b/>
                <w:sz w:val="22"/>
                <w:szCs w:val="22"/>
              </w:rPr>
              <w:t>II</w:t>
            </w:r>
            <w:r w:rsidR="0049146E" w:rsidRPr="00B77C69">
              <w:rPr>
                <w:b/>
                <w:sz w:val="22"/>
                <w:szCs w:val="22"/>
                <w:lang w:val="bg-BG"/>
              </w:rPr>
              <w:t>.</w:t>
            </w:r>
            <w:r w:rsidR="0049146E" w:rsidRPr="00B77C69">
              <w:rPr>
                <w:sz w:val="22"/>
                <w:szCs w:val="22"/>
                <w:lang w:val="bg-BG"/>
              </w:rPr>
              <w:t xml:space="preserve"> </w:t>
            </w:r>
            <w:r w:rsidRPr="00B77C69">
              <w:rPr>
                <w:b/>
                <w:sz w:val="22"/>
                <w:szCs w:val="22"/>
                <w:lang w:val="bg-BG"/>
              </w:rPr>
              <w:t>Минимални квалификационни изисквания към Претендента за допускане до участие.</w:t>
            </w:r>
          </w:p>
        </w:tc>
      </w:tr>
      <w:tr w:rsidR="0091160A" w:rsidRPr="00281E89" w:rsidTr="00B77C69">
        <w:trPr>
          <w:cantSplit/>
          <w:trHeight w:val="1130"/>
        </w:trPr>
        <w:tc>
          <w:tcPr>
            <w:tcW w:w="3544" w:type="dxa"/>
            <w:tcBorders>
              <w:top w:val="single" w:sz="4" w:space="0" w:color="auto"/>
              <w:left w:val="single" w:sz="4" w:space="0" w:color="auto"/>
              <w:bottom w:val="single" w:sz="4" w:space="0" w:color="auto"/>
              <w:right w:val="single" w:sz="4" w:space="0" w:color="auto"/>
            </w:tcBorders>
          </w:tcPr>
          <w:p w:rsidR="0091160A" w:rsidRPr="00B77C69" w:rsidRDefault="0091160A" w:rsidP="00E24C5D">
            <w:pPr>
              <w:pStyle w:val="a9"/>
              <w:numPr>
                <w:ilvl w:val="1"/>
                <w:numId w:val="31"/>
              </w:numPr>
              <w:tabs>
                <w:tab w:val="left" w:pos="460"/>
              </w:tabs>
              <w:rPr>
                <w:rFonts w:ascii="Times New Roman" w:hAnsi="Times New Roman"/>
                <w:sz w:val="22"/>
                <w:szCs w:val="22"/>
                <w:lang w:val="bg-BG"/>
              </w:rPr>
            </w:pPr>
            <w:r w:rsidRPr="00B77C69">
              <w:rPr>
                <w:rFonts w:ascii="Times New Roman" w:hAnsi="Times New Roman"/>
                <w:color w:val="000000"/>
                <w:sz w:val="22"/>
                <w:szCs w:val="22"/>
                <w:lang w:val="bg-BG" w:eastAsia="bg-BG"/>
              </w:rPr>
              <w:t>Предишен опит</w:t>
            </w:r>
          </w:p>
        </w:tc>
        <w:tc>
          <w:tcPr>
            <w:tcW w:w="6946" w:type="dxa"/>
            <w:tcBorders>
              <w:top w:val="single" w:sz="4" w:space="0" w:color="auto"/>
              <w:left w:val="single" w:sz="4" w:space="0" w:color="auto"/>
              <w:bottom w:val="single" w:sz="4" w:space="0" w:color="auto"/>
              <w:right w:val="single" w:sz="4" w:space="0" w:color="auto"/>
            </w:tcBorders>
            <w:vAlign w:val="center"/>
          </w:tcPr>
          <w:p w:rsidR="0091160A" w:rsidRPr="0047454F" w:rsidRDefault="0091160A" w:rsidP="00C4720F">
            <w:pPr>
              <w:rPr>
                <w:sz w:val="22"/>
                <w:szCs w:val="22"/>
                <w:lang w:val="ru-RU" w:eastAsia="bg-BG"/>
              </w:rPr>
            </w:pPr>
            <w:proofErr w:type="spellStart"/>
            <w:r w:rsidRPr="0047454F">
              <w:rPr>
                <w:b/>
                <w:sz w:val="22"/>
                <w:szCs w:val="22"/>
                <w:lang w:val="ru-RU" w:eastAsia="bg-BG"/>
              </w:rPr>
              <w:t>Претендентът</w:t>
            </w:r>
            <w:proofErr w:type="spellEnd"/>
            <w:r w:rsidRPr="0047454F">
              <w:rPr>
                <w:sz w:val="22"/>
                <w:szCs w:val="22"/>
                <w:lang w:val="ru-RU" w:eastAsia="bg-BG"/>
              </w:rPr>
              <w:t xml:space="preserve"> </w:t>
            </w:r>
            <w:proofErr w:type="spellStart"/>
            <w:r w:rsidRPr="0047454F">
              <w:rPr>
                <w:sz w:val="22"/>
                <w:szCs w:val="22"/>
                <w:lang w:val="ru-RU" w:eastAsia="bg-BG"/>
              </w:rPr>
              <w:t>има</w:t>
            </w:r>
            <w:proofErr w:type="spellEnd"/>
            <w:r w:rsidRPr="0047454F">
              <w:rPr>
                <w:sz w:val="22"/>
                <w:szCs w:val="22"/>
                <w:lang w:val="ru-RU" w:eastAsia="bg-BG"/>
              </w:rPr>
              <w:t xml:space="preserve"> минимум 1 (един) договор за</w:t>
            </w:r>
            <w:r w:rsidR="00C4720F" w:rsidRPr="00C4720F">
              <w:rPr>
                <w:lang w:val="ru-RU"/>
              </w:rPr>
              <w:t xml:space="preserve"> </w:t>
            </w:r>
            <w:proofErr w:type="spellStart"/>
            <w:r w:rsidR="00C4720F" w:rsidRPr="00C4720F">
              <w:rPr>
                <w:sz w:val="22"/>
                <w:szCs w:val="22"/>
                <w:lang w:val="ru-RU" w:eastAsia="bg-BG"/>
              </w:rPr>
              <w:t>изпълнение</w:t>
            </w:r>
            <w:proofErr w:type="spellEnd"/>
            <w:r w:rsidR="00C4720F" w:rsidRPr="00C4720F">
              <w:rPr>
                <w:sz w:val="22"/>
                <w:szCs w:val="22"/>
                <w:lang w:val="ru-RU" w:eastAsia="bg-BG"/>
              </w:rPr>
              <w:t xml:space="preserve"> на ремонт на турбогенератор</w:t>
            </w:r>
            <w:r w:rsidRPr="0047454F">
              <w:rPr>
                <w:sz w:val="22"/>
                <w:szCs w:val="22"/>
                <w:lang w:val="ru-RU" w:eastAsia="bg-BG"/>
              </w:rPr>
              <w:t xml:space="preserve">, </w:t>
            </w:r>
            <w:proofErr w:type="spellStart"/>
            <w:r w:rsidRPr="0047454F">
              <w:rPr>
                <w:sz w:val="22"/>
                <w:szCs w:val="22"/>
                <w:lang w:val="ru-RU" w:eastAsia="bg-BG"/>
              </w:rPr>
              <w:t>като</w:t>
            </w:r>
            <w:proofErr w:type="spellEnd"/>
            <w:r w:rsidRPr="0047454F">
              <w:rPr>
                <w:sz w:val="22"/>
                <w:szCs w:val="22"/>
                <w:lang w:val="ru-RU" w:eastAsia="bg-BG"/>
              </w:rPr>
              <w:t xml:space="preserve"> </w:t>
            </w:r>
            <w:proofErr w:type="spellStart"/>
            <w:r w:rsidRPr="0047454F">
              <w:rPr>
                <w:sz w:val="22"/>
                <w:szCs w:val="22"/>
                <w:lang w:val="ru-RU" w:eastAsia="bg-BG"/>
              </w:rPr>
              <w:t>договорът</w:t>
            </w:r>
            <w:proofErr w:type="spellEnd"/>
            <w:r w:rsidRPr="0047454F">
              <w:rPr>
                <w:sz w:val="22"/>
                <w:szCs w:val="22"/>
                <w:lang w:val="ru-RU" w:eastAsia="bg-BG"/>
              </w:rPr>
              <w:t xml:space="preserve"> </w:t>
            </w:r>
            <w:proofErr w:type="spellStart"/>
            <w:r w:rsidRPr="0047454F">
              <w:rPr>
                <w:sz w:val="22"/>
                <w:szCs w:val="22"/>
                <w:lang w:val="ru-RU" w:eastAsia="bg-BG"/>
              </w:rPr>
              <w:t>трябва</w:t>
            </w:r>
            <w:proofErr w:type="spellEnd"/>
            <w:r w:rsidRPr="0047454F">
              <w:rPr>
                <w:sz w:val="22"/>
                <w:szCs w:val="22"/>
                <w:lang w:val="ru-RU" w:eastAsia="bg-BG"/>
              </w:rPr>
              <w:t xml:space="preserve"> да е на </w:t>
            </w:r>
            <w:proofErr w:type="spellStart"/>
            <w:r w:rsidRPr="0047454F">
              <w:rPr>
                <w:sz w:val="22"/>
                <w:szCs w:val="22"/>
                <w:lang w:val="ru-RU" w:eastAsia="bg-BG"/>
              </w:rPr>
              <w:t>стойност</w:t>
            </w:r>
            <w:proofErr w:type="spellEnd"/>
            <w:r w:rsidRPr="0047454F">
              <w:rPr>
                <w:sz w:val="22"/>
                <w:szCs w:val="22"/>
                <w:lang w:val="ru-RU" w:eastAsia="bg-BG"/>
              </w:rPr>
              <w:t xml:space="preserve"> </w:t>
            </w:r>
            <w:proofErr w:type="spellStart"/>
            <w:r w:rsidRPr="0047454F">
              <w:rPr>
                <w:sz w:val="22"/>
                <w:szCs w:val="22"/>
                <w:lang w:val="ru-RU" w:eastAsia="bg-BG"/>
              </w:rPr>
              <w:t>по-голяма</w:t>
            </w:r>
            <w:proofErr w:type="spellEnd"/>
            <w:r w:rsidRPr="0047454F">
              <w:rPr>
                <w:sz w:val="22"/>
                <w:szCs w:val="22"/>
                <w:lang w:val="ru-RU" w:eastAsia="bg-BG"/>
              </w:rPr>
              <w:t xml:space="preserve"> от или равна на 200 000 </w:t>
            </w:r>
            <w:proofErr w:type="spellStart"/>
            <w:r w:rsidRPr="0047454F">
              <w:rPr>
                <w:sz w:val="22"/>
                <w:szCs w:val="22"/>
                <w:lang w:val="ru-RU" w:eastAsia="bg-BG"/>
              </w:rPr>
              <w:t>лв</w:t>
            </w:r>
            <w:proofErr w:type="spellEnd"/>
            <w:r w:rsidRPr="0047454F">
              <w:rPr>
                <w:sz w:val="22"/>
                <w:szCs w:val="22"/>
                <w:lang w:val="ru-RU" w:eastAsia="bg-BG"/>
              </w:rPr>
              <w:t xml:space="preserve">. и да е приключен в </w:t>
            </w:r>
            <w:proofErr w:type="spellStart"/>
            <w:r w:rsidRPr="0047454F">
              <w:rPr>
                <w:sz w:val="22"/>
                <w:szCs w:val="22"/>
                <w:lang w:val="ru-RU" w:eastAsia="bg-BG"/>
              </w:rPr>
              <w:t>последните</w:t>
            </w:r>
            <w:proofErr w:type="spellEnd"/>
            <w:r w:rsidRPr="0047454F">
              <w:rPr>
                <w:sz w:val="22"/>
                <w:szCs w:val="22"/>
                <w:lang w:val="ru-RU" w:eastAsia="bg-BG"/>
              </w:rPr>
              <w:t xml:space="preserve"> 5 (пет) </w:t>
            </w:r>
            <w:proofErr w:type="spellStart"/>
            <w:r w:rsidRPr="0047454F">
              <w:rPr>
                <w:sz w:val="22"/>
                <w:szCs w:val="22"/>
                <w:lang w:val="ru-RU" w:eastAsia="bg-BG"/>
              </w:rPr>
              <w:t>години</w:t>
            </w:r>
            <w:proofErr w:type="spellEnd"/>
            <w:r w:rsidRPr="0047454F">
              <w:rPr>
                <w:sz w:val="22"/>
                <w:szCs w:val="22"/>
                <w:lang w:val="ru-RU" w:eastAsia="bg-BG"/>
              </w:rPr>
              <w:t xml:space="preserve"> (2015г., 2016г., 2017г., 2018г. и 2019г.) и/или в действие </w:t>
            </w:r>
            <w:proofErr w:type="spellStart"/>
            <w:r w:rsidRPr="0047454F">
              <w:rPr>
                <w:sz w:val="22"/>
                <w:szCs w:val="22"/>
                <w:lang w:val="ru-RU" w:eastAsia="bg-BG"/>
              </w:rPr>
              <w:t>към</w:t>
            </w:r>
            <w:proofErr w:type="spellEnd"/>
            <w:r w:rsidRPr="0047454F">
              <w:rPr>
                <w:sz w:val="22"/>
                <w:szCs w:val="22"/>
                <w:lang w:val="ru-RU" w:eastAsia="bg-BG"/>
              </w:rPr>
              <w:t xml:space="preserve"> момента на </w:t>
            </w:r>
            <w:proofErr w:type="spellStart"/>
            <w:r w:rsidRPr="0047454F">
              <w:rPr>
                <w:sz w:val="22"/>
                <w:szCs w:val="22"/>
                <w:lang w:val="ru-RU" w:eastAsia="bg-BG"/>
              </w:rPr>
              <w:t>провеждане</w:t>
            </w:r>
            <w:proofErr w:type="spellEnd"/>
            <w:r w:rsidRPr="0047454F">
              <w:rPr>
                <w:sz w:val="22"/>
                <w:szCs w:val="22"/>
                <w:lang w:val="ru-RU" w:eastAsia="bg-BG"/>
              </w:rPr>
              <w:t xml:space="preserve"> на тендера.</w:t>
            </w:r>
          </w:p>
        </w:tc>
      </w:tr>
      <w:tr w:rsidR="0091160A" w:rsidRPr="00281E89" w:rsidTr="00B77C69">
        <w:trPr>
          <w:cantSplit/>
          <w:trHeight w:val="705"/>
        </w:trPr>
        <w:tc>
          <w:tcPr>
            <w:tcW w:w="3544" w:type="dxa"/>
            <w:tcBorders>
              <w:top w:val="single" w:sz="4" w:space="0" w:color="auto"/>
              <w:left w:val="single" w:sz="4" w:space="0" w:color="auto"/>
              <w:bottom w:val="single" w:sz="4" w:space="0" w:color="auto"/>
              <w:right w:val="single" w:sz="4" w:space="0" w:color="auto"/>
            </w:tcBorders>
          </w:tcPr>
          <w:p w:rsidR="0091160A" w:rsidRPr="00B77C69" w:rsidRDefault="00E24C5D" w:rsidP="00C85A54">
            <w:pPr>
              <w:tabs>
                <w:tab w:val="left" w:pos="460"/>
              </w:tabs>
              <w:rPr>
                <w:sz w:val="22"/>
                <w:szCs w:val="22"/>
                <w:lang w:val="bg-BG"/>
              </w:rPr>
            </w:pPr>
            <w:r w:rsidRPr="00B77C69">
              <w:rPr>
                <w:sz w:val="22"/>
                <w:szCs w:val="22"/>
                <w:lang w:val="bg-BG"/>
              </w:rPr>
              <w:t xml:space="preserve">2.2 </w:t>
            </w:r>
            <w:r w:rsidR="0091160A" w:rsidRPr="00B77C69">
              <w:rPr>
                <w:sz w:val="22"/>
                <w:szCs w:val="22"/>
                <w:lang w:val="bg-BG"/>
              </w:rPr>
              <w:t>Разрешителни документи на Претендента</w:t>
            </w:r>
          </w:p>
        </w:tc>
        <w:tc>
          <w:tcPr>
            <w:tcW w:w="6946" w:type="dxa"/>
            <w:tcBorders>
              <w:top w:val="single" w:sz="4" w:space="0" w:color="auto"/>
              <w:left w:val="single" w:sz="4" w:space="0" w:color="auto"/>
              <w:bottom w:val="single" w:sz="4" w:space="0" w:color="auto"/>
              <w:right w:val="single" w:sz="4" w:space="0" w:color="auto"/>
            </w:tcBorders>
            <w:vAlign w:val="center"/>
          </w:tcPr>
          <w:p w:rsidR="0091160A" w:rsidRDefault="0091160A" w:rsidP="0091160A">
            <w:pPr>
              <w:jc w:val="left"/>
              <w:rPr>
                <w:bCs/>
                <w:sz w:val="22"/>
                <w:szCs w:val="22"/>
                <w:lang w:val="ru-RU" w:eastAsia="bg-BG"/>
              </w:rPr>
            </w:pPr>
            <w:proofErr w:type="spellStart"/>
            <w:r w:rsidRPr="0047454F">
              <w:rPr>
                <w:b/>
                <w:bCs/>
                <w:sz w:val="22"/>
                <w:szCs w:val="22"/>
                <w:lang w:val="ru-RU" w:eastAsia="bg-BG"/>
              </w:rPr>
              <w:t>Претендентът</w:t>
            </w:r>
            <w:proofErr w:type="spellEnd"/>
            <w:r w:rsidRPr="0047454F">
              <w:rPr>
                <w:bCs/>
                <w:sz w:val="22"/>
                <w:szCs w:val="22"/>
                <w:lang w:val="ru-RU" w:eastAsia="bg-BG"/>
              </w:rPr>
              <w:t xml:space="preserve"> </w:t>
            </w:r>
            <w:proofErr w:type="spellStart"/>
            <w:r w:rsidRPr="0047454F">
              <w:rPr>
                <w:bCs/>
                <w:sz w:val="22"/>
                <w:szCs w:val="22"/>
                <w:lang w:val="ru-RU" w:eastAsia="bg-BG"/>
              </w:rPr>
              <w:t>има</w:t>
            </w:r>
            <w:proofErr w:type="spellEnd"/>
            <w:r w:rsidRPr="0047454F">
              <w:rPr>
                <w:bCs/>
                <w:sz w:val="22"/>
                <w:szCs w:val="22"/>
                <w:lang w:val="ru-RU" w:eastAsia="bg-BG"/>
              </w:rPr>
              <w:t xml:space="preserve"> </w:t>
            </w:r>
            <w:proofErr w:type="spellStart"/>
            <w:r w:rsidRPr="0047454F">
              <w:rPr>
                <w:bCs/>
                <w:sz w:val="22"/>
                <w:szCs w:val="22"/>
                <w:lang w:val="ru-RU" w:eastAsia="bg-BG"/>
              </w:rPr>
              <w:t>валидни</w:t>
            </w:r>
            <w:proofErr w:type="spellEnd"/>
            <w:r w:rsidRPr="0047454F">
              <w:rPr>
                <w:bCs/>
                <w:sz w:val="22"/>
                <w:szCs w:val="22"/>
                <w:lang w:val="ru-RU" w:eastAsia="bg-BG"/>
              </w:rPr>
              <w:t xml:space="preserve"> </w:t>
            </w:r>
            <w:proofErr w:type="spellStart"/>
            <w:r w:rsidRPr="0047454F">
              <w:rPr>
                <w:bCs/>
                <w:sz w:val="22"/>
                <w:szCs w:val="22"/>
                <w:lang w:val="ru-RU" w:eastAsia="bg-BG"/>
              </w:rPr>
              <w:t>сертификати</w:t>
            </w:r>
            <w:proofErr w:type="spellEnd"/>
            <w:r w:rsidRPr="0047454F">
              <w:rPr>
                <w:bCs/>
                <w:sz w:val="22"/>
                <w:szCs w:val="22"/>
                <w:lang w:val="ru-RU" w:eastAsia="bg-BG"/>
              </w:rPr>
              <w:t xml:space="preserve"> за:</w:t>
            </w:r>
          </w:p>
          <w:p w:rsidR="00DC5B46" w:rsidRPr="0047454F" w:rsidRDefault="00DC5B46" w:rsidP="0091160A">
            <w:pPr>
              <w:jc w:val="left"/>
              <w:rPr>
                <w:bCs/>
                <w:sz w:val="22"/>
                <w:szCs w:val="22"/>
                <w:lang w:val="ru-RU" w:eastAsia="bg-BG"/>
              </w:rPr>
            </w:pPr>
            <w:r>
              <w:rPr>
                <w:bCs/>
                <w:sz w:val="22"/>
                <w:szCs w:val="22"/>
                <w:lang w:val="ru-RU" w:eastAsia="bg-BG"/>
              </w:rPr>
              <w:t xml:space="preserve">- </w:t>
            </w:r>
            <w:r w:rsidRPr="00DC5B46">
              <w:rPr>
                <w:bCs/>
                <w:sz w:val="22"/>
                <w:szCs w:val="22"/>
                <w:lang w:val="ru-RU" w:eastAsia="bg-BG"/>
              </w:rPr>
              <w:t xml:space="preserve">стандарт ISO 9001 по управление на </w:t>
            </w:r>
            <w:proofErr w:type="spellStart"/>
            <w:r w:rsidRPr="00DC5B46">
              <w:rPr>
                <w:bCs/>
                <w:sz w:val="22"/>
                <w:szCs w:val="22"/>
                <w:lang w:val="ru-RU" w:eastAsia="bg-BG"/>
              </w:rPr>
              <w:t>качеството</w:t>
            </w:r>
            <w:proofErr w:type="spellEnd"/>
          </w:p>
          <w:p w:rsidR="0091160A" w:rsidRPr="0047454F" w:rsidRDefault="0091160A" w:rsidP="0091160A">
            <w:pPr>
              <w:jc w:val="left"/>
              <w:rPr>
                <w:bCs/>
                <w:sz w:val="22"/>
                <w:szCs w:val="22"/>
                <w:lang w:val="ru-RU" w:eastAsia="bg-BG"/>
              </w:rPr>
            </w:pPr>
            <w:r w:rsidRPr="0047454F">
              <w:rPr>
                <w:bCs/>
                <w:sz w:val="22"/>
                <w:szCs w:val="22"/>
                <w:lang w:val="ru-RU" w:eastAsia="bg-BG"/>
              </w:rPr>
              <w:t xml:space="preserve">- стандарт </w:t>
            </w:r>
            <w:r w:rsidRPr="0047454F">
              <w:rPr>
                <w:bCs/>
                <w:sz w:val="22"/>
                <w:szCs w:val="22"/>
                <w:lang w:eastAsia="bg-BG"/>
              </w:rPr>
              <w:t>ISO</w:t>
            </w:r>
            <w:r w:rsidRPr="0047454F">
              <w:rPr>
                <w:bCs/>
                <w:sz w:val="22"/>
                <w:szCs w:val="22"/>
                <w:lang w:val="ru-RU" w:eastAsia="bg-BG"/>
              </w:rPr>
              <w:t xml:space="preserve"> 14001 за управление на </w:t>
            </w:r>
            <w:proofErr w:type="spellStart"/>
            <w:r w:rsidRPr="0047454F">
              <w:rPr>
                <w:bCs/>
                <w:sz w:val="22"/>
                <w:szCs w:val="22"/>
                <w:lang w:val="ru-RU" w:eastAsia="bg-BG"/>
              </w:rPr>
              <w:t>околната</w:t>
            </w:r>
            <w:proofErr w:type="spellEnd"/>
            <w:r w:rsidRPr="0047454F">
              <w:rPr>
                <w:bCs/>
                <w:sz w:val="22"/>
                <w:szCs w:val="22"/>
                <w:lang w:val="ru-RU" w:eastAsia="bg-BG"/>
              </w:rPr>
              <w:t xml:space="preserve"> среда </w:t>
            </w:r>
          </w:p>
          <w:p w:rsidR="0091160A" w:rsidRPr="0047454F" w:rsidRDefault="0091160A" w:rsidP="0091160A">
            <w:pPr>
              <w:rPr>
                <w:sz w:val="22"/>
                <w:szCs w:val="22"/>
                <w:lang w:val="bg-BG"/>
              </w:rPr>
            </w:pPr>
            <w:r w:rsidRPr="0047454F">
              <w:rPr>
                <w:bCs/>
                <w:sz w:val="22"/>
                <w:szCs w:val="22"/>
                <w:lang w:val="ru-RU" w:eastAsia="bg-BG"/>
              </w:rPr>
              <w:t xml:space="preserve">- </w:t>
            </w:r>
            <w:r w:rsidRPr="0047454F">
              <w:rPr>
                <w:bCs/>
                <w:sz w:val="22"/>
                <w:szCs w:val="22"/>
                <w:lang w:eastAsia="bg-BG"/>
              </w:rPr>
              <w:t>OHSAS</w:t>
            </w:r>
            <w:r w:rsidRPr="0047454F">
              <w:rPr>
                <w:bCs/>
                <w:sz w:val="22"/>
                <w:szCs w:val="22"/>
                <w:lang w:val="ru-RU" w:eastAsia="bg-BG"/>
              </w:rPr>
              <w:t xml:space="preserve"> 18001/ стандарт </w:t>
            </w:r>
            <w:r w:rsidRPr="0047454F">
              <w:rPr>
                <w:bCs/>
                <w:sz w:val="22"/>
                <w:szCs w:val="22"/>
                <w:lang w:eastAsia="bg-BG"/>
              </w:rPr>
              <w:t>ISO</w:t>
            </w:r>
            <w:r w:rsidRPr="0047454F">
              <w:rPr>
                <w:bCs/>
                <w:sz w:val="22"/>
                <w:szCs w:val="22"/>
                <w:lang w:val="ru-RU" w:eastAsia="bg-BG"/>
              </w:rPr>
              <w:t xml:space="preserve"> 45001 за здраве и безопасност при работа.</w:t>
            </w:r>
          </w:p>
        </w:tc>
      </w:tr>
      <w:tr w:rsidR="00201E47" w:rsidRPr="00281E89" w:rsidTr="00B77C69">
        <w:trPr>
          <w:cantSplit/>
          <w:trHeight w:val="826"/>
        </w:trPr>
        <w:tc>
          <w:tcPr>
            <w:tcW w:w="3544" w:type="dxa"/>
            <w:tcBorders>
              <w:top w:val="single" w:sz="4" w:space="0" w:color="auto"/>
              <w:left w:val="single" w:sz="4" w:space="0" w:color="auto"/>
              <w:bottom w:val="single" w:sz="4" w:space="0" w:color="auto"/>
              <w:right w:val="single" w:sz="4" w:space="0" w:color="auto"/>
            </w:tcBorders>
          </w:tcPr>
          <w:p w:rsidR="00201E47" w:rsidRPr="0047454F" w:rsidRDefault="00E24C5D" w:rsidP="00C85A54">
            <w:pPr>
              <w:tabs>
                <w:tab w:val="left" w:pos="460"/>
              </w:tabs>
              <w:rPr>
                <w:sz w:val="22"/>
                <w:szCs w:val="22"/>
                <w:highlight w:val="yellow"/>
                <w:lang w:val="bg-BG"/>
              </w:rPr>
            </w:pPr>
            <w:r w:rsidRPr="0047454F">
              <w:rPr>
                <w:sz w:val="22"/>
                <w:szCs w:val="22"/>
                <w:lang w:val="bg-BG"/>
              </w:rPr>
              <w:t xml:space="preserve">2.3 </w:t>
            </w:r>
            <w:r w:rsidR="00201E47" w:rsidRPr="0047454F">
              <w:rPr>
                <w:sz w:val="22"/>
                <w:szCs w:val="22"/>
                <w:lang w:val="bg-BG"/>
              </w:rPr>
              <w:t xml:space="preserve">ПБ, ОТ и ОС </w:t>
            </w:r>
          </w:p>
        </w:tc>
        <w:tc>
          <w:tcPr>
            <w:tcW w:w="6946" w:type="dxa"/>
            <w:tcBorders>
              <w:top w:val="single" w:sz="4" w:space="0" w:color="auto"/>
              <w:left w:val="single" w:sz="4" w:space="0" w:color="auto"/>
              <w:bottom w:val="single" w:sz="4" w:space="0" w:color="auto"/>
              <w:right w:val="single" w:sz="4" w:space="0" w:color="auto"/>
            </w:tcBorders>
            <w:vAlign w:val="center"/>
          </w:tcPr>
          <w:p w:rsidR="00201E47" w:rsidRPr="0047454F" w:rsidRDefault="00201E47" w:rsidP="00201E47">
            <w:pPr>
              <w:rPr>
                <w:sz w:val="22"/>
                <w:szCs w:val="22"/>
                <w:lang w:val="bg-BG"/>
              </w:rPr>
            </w:pPr>
            <w:r w:rsidRPr="0047454F">
              <w:rPr>
                <w:b/>
                <w:sz w:val="22"/>
                <w:szCs w:val="22"/>
                <w:lang w:val="bg-BG"/>
              </w:rPr>
              <w:t>Претендентът</w:t>
            </w:r>
            <w:r w:rsidRPr="0047454F">
              <w:rPr>
                <w:sz w:val="22"/>
                <w:szCs w:val="22"/>
                <w:lang w:val="bg-BG"/>
              </w:rPr>
              <w:t xml:space="preserve"> покрива (изпълнява)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w:t>
            </w:r>
            <w:r w:rsidRPr="0047454F">
              <w:rPr>
                <w:color w:val="000000"/>
                <w:sz w:val="22"/>
                <w:szCs w:val="22"/>
                <w:lang w:val="bg-BG" w:eastAsia="bg-BG"/>
              </w:rPr>
              <w:t>ПБ, ОТ и ОС</w:t>
            </w:r>
            <w:r w:rsidRPr="0047454F">
              <w:rPr>
                <w:sz w:val="22"/>
                <w:szCs w:val="22"/>
                <w:lang w:val="bg-BG"/>
              </w:rPr>
              <w:t>.</w:t>
            </w:r>
          </w:p>
        </w:tc>
      </w:tr>
      <w:tr w:rsidR="00201E47" w:rsidRPr="00281E89" w:rsidTr="00B77C69">
        <w:trPr>
          <w:cantSplit/>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E24C5D">
            <w:pPr>
              <w:pStyle w:val="a9"/>
              <w:numPr>
                <w:ilvl w:val="1"/>
                <w:numId w:val="29"/>
              </w:numPr>
              <w:tabs>
                <w:tab w:val="left" w:pos="460"/>
              </w:tabs>
              <w:jc w:val="both"/>
              <w:rPr>
                <w:rFonts w:ascii="Times New Roman" w:hAnsi="Times New Roman"/>
                <w:sz w:val="22"/>
                <w:szCs w:val="22"/>
                <w:lang w:val="bg-BG"/>
              </w:rPr>
            </w:pPr>
            <w:r w:rsidRPr="00B77C69">
              <w:rPr>
                <w:rFonts w:ascii="Times New Roman" w:hAnsi="Times New Roman"/>
                <w:sz w:val="22"/>
                <w:szCs w:val="22"/>
                <w:lang w:val="bg-BG"/>
              </w:rPr>
              <w:t>Проект на договор</w:t>
            </w:r>
          </w:p>
        </w:tc>
        <w:tc>
          <w:tcPr>
            <w:tcW w:w="6946" w:type="dxa"/>
            <w:tcBorders>
              <w:top w:val="single" w:sz="4" w:space="0" w:color="auto"/>
              <w:left w:val="single" w:sz="4" w:space="0" w:color="auto"/>
              <w:bottom w:val="single" w:sz="4" w:space="0" w:color="auto"/>
              <w:right w:val="single" w:sz="4" w:space="0" w:color="auto"/>
            </w:tcBorders>
            <w:vAlign w:val="center"/>
          </w:tcPr>
          <w:p w:rsidR="00201E47" w:rsidRPr="0047454F" w:rsidRDefault="00201E47" w:rsidP="00201E47">
            <w:pPr>
              <w:rPr>
                <w:sz w:val="22"/>
                <w:szCs w:val="22"/>
                <w:lang w:val="bg-BG" w:eastAsia="ru-RU"/>
              </w:rPr>
            </w:pPr>
            <w:r w:rsidRPr="0047454F">
              <w:rPr>
                <w:b/>
                <w:sz w:val="22"/>
                <w:szCs w:val="22"/>
                <w:lang w:val="bg-BG" w:eastAsia="ru-RU"/>
              </w:rPr>
              <w:t>Претендентът</w:t>
            </w:r>
            <w:r w:rsidRPr="0047454F">
              <w:rPr>
                <w:sz w:val="22"/>
                <w:szCs w:val="22"/>
                <w:lang w:val="bg-BG" w:eastAsia="ru-RU"/>
              </w:rPr>
              <w:t xml:space="preserve"> приема безусловно предложения проект на договор.</w:t>
            </w:r>
          </w:p>
        </w:tc>
      </w:tr>
      <w:tr w:rsidR="00201E47" w:rsidRPr="00B77C69" w:rsidTr="00B77C69">
        <w:trPr>
          <w:cantSplit/>
          <w:trHeight w:val="426"/>
        </w:trPr>
        <w:tc>
          <w:tcPr>
            <w:tcW w:w="3544" w:type="dxa"/>
            <w:vMerge w:val="restart"/>
            <w:tcBorders>
              <w:top w:val="single" w:sz="4" w:space="0" w:color="auto"/>
              <w:left w:val="single" w:sz="4" w:space="0" w:color="auto"/>
              <w:right w:val="single" w:sz="4" w:space="0" w:color="auto"/>
            </w:tcBorders>
          </w:tcPr>
          <w:p w:rsidR="00201E47" w:rsidRPr="00B77C69" w:rsidRDefault="00201E47" w:rsidP="00E24C5D">
            <w:pPr>
              <w:pStyle w:val="a9"/>
              <w:numPr>
                <w:ilvl w:val="1"/>
                <w:numId w:val="29"/>
              </w:numPr>
              <w:tabs>
                <w:tab w:val="left" w:pos="460"/>
              </w:tabs>
              <w:jc w:val="both"/>
              <w:rPr>
                <w:rFonts w:ascii="Times New Roman" w:hAnsi="Times New Roman"/>
                <w:sz w:val="22"/>
                <w:szCs w:val="22"/>
                <w:lang w:val="bg-BG"/>
              </w:rPr>
            </w:pPr>
            <w:r w:rsidRPr="00B77C69">
              <w:rPr>
                <w:rFonts w:ascii="Times New Roman" w:hAnsi="Times New Roman"/>
                <w:sz w:val="22"/>
                <w:szCs w:val="22"/>
                <w:lang w:val="bg-BG"/>
              </w:rPr>
              <w:t>Разрешителни документи на Претендента/ подизпълнител</w:t>
            </w:r>
          </w:p>
        </w:tc>
        <w:tc>
          <w:tcPr>
            <w:tcW w:w="6946" w:type="dxa"/>
            <w:tcBorders>
              <w:top w:val="single" w:sz="4" w:space="0" w:color="auto"/>
              <w:left w:val="single" w:sz="4" w:space="0" w:color="auto"/>
              <w:right w:val="single" w:sz="4" w:space="0" w:color="auto"/>
            </w:tcBorders>
            <w:vAlign w:val="center"/>
          </w:tcPr>
          <w:p w:rsidR="00201E47" w:rsidRPr="0047454F" w:rsidRDefault="00520881" w:rsidP="00201E47">
            <w:pPr>
              <w:rPr>
                <w:b/>
                <w:sz w:val="22"/>
                <w:szCs w:val="22"/>
                <w:lang w:val="bg-BG" w:eastAsia="bg-BG"/>
              </w:rPr>
            </w:pPr>
            <w:r>
              <w:rPr>
                <w:b/>
                <w:sz w:val="22"/>
                <w:szCs w:val="22"/>
                <w:lang w:val="ru-RU" w:eastAsia="bg-BG"/>
              </w:rPr>
              <w:t>Претендентът/</w:t>
            </w:r>
            <w:r w:rsidR="00201E47" w:rsidRPr="0047454F">
              <w:rPr>
                <w:b/>
                <w:sz w:val="22"/>
                <w:szCs w:val="22"/>
                <w:lang w:val="ru-RU" w:eastAsia="bg-BG"/>
              </w:rPr>
              <w:t>подизпълнител</w:t>
            </w:r>
            <w:r w:rsidR="00201E47" w:rsidRPr="0047454F">
              <w:rPr>
                <w:sz w:val="22"/>
                <w:szCs w:val="22"/>
                <w:lang w:val="ru-RU" w:eastAsia="bg-BG"/>
              </w:rPr>
              <w:t xml:space="preserve"> има валиден сертификат от българската служба по акредитация/орган за контрол от вида А или С/ да изпълнява и извършва контрол (БДС </w:t>
            </w:r>
            <w:r w:rsidR="00201E47" w:rsidRPr="0047454F">
              <w:rPr>
                <w:sz w:val="22"/>
                <w:szCs w:val="22"/>
                <w:lang w:eastAsia="bg-BG"/>
              </w:rPr>
              <w:t>EN</w:t>
            </w:r>
            <w:r w:rsidR="00201E47" w:rsidRPr="0047454F">
              <w:rPr>
                <w:sz w:val="22"/>
                <w:szCs w:val="22"/>
                <w:lang w:val="ru-RU" w:eastAsia="bg-BG"/>
              </w:rPr>
              <w:t xml:space="preserve"> </w:t>
            </w:r>
            <w:r w:rsidR="00201E47" w:rsidRPr="0047454F">
              <w:rPr>
                <w:sz w:val="22"/>
                <w:szCs w:val="22"/>
                <w:lang w:eastAsia="bg-BG"/>
              </w:rPr>
              <w:t>ISO</w:t>
            </w:r>
            <w:r w:rsidR="00201E47" w:rsidRPr="0047454F">
              <w:rPr>
                <w:sz w:val="22"/>
                <w:szCs w:val="22"/>
                <w:lang w:val="ru-RU" w:eastAsia="bg-BG"/>
              </w:rPr>
              <w:t>/</w:t>
            </w:r>
            <w:r w:rsidR="00201E47" w:rsidRPr="0047454F">
              <w:rPr>
                <w:sz w:val="22"/>
                <w:szCs w:val="22"/>
                <w:lang w:eastAsia="bg-BG"/>
              </w:rPr>
              <w:t>IEC</w:t>
            </w:r>
            <w:r w:rsidR="00201E47" w:rsidRPr="0047454F">
              <w:rPr>
                <w:sz w:val="22"/>
                <w:szCs w:val="22"/>
                <w:lang w:val="ru-RU" w:eastAsia="bg-BG"/>
              </w:rPr>
              <w:t xml:space="preserve"> 17020:2012) на:</w:t>
            </w:r>
          </w:p>
          <w:p w:rsidR="00201E47" w:rsidRPr="0047454F" w:rsidRDefault="00201E47" w:rsidP="00201E47">
            <w:pPr>
              <w:rPr>
                <w:sz w:val="22"/>
                <w:szCs w:val="22"/>
                <w:lang w:eastAsia="bg-BG"/>
              </w:rPr>
            </w:pPr>
            <w:r w:rsidRPr="0047454F">
              <w:rPr>
                <w:sz w:val="22"/>
                <w:szCs w:val="22"/>
                <w:lang w:eastAsia="bg-BG"/>
              </w:rPr>
              <w:t xml:space="preserve">- </w:t>
            </w:r>
            <w:proofErr w:type="spellStart"/>
            <w:proofErr w:type="gramStart"/>
            <w:r w:rsidRPr="0047454F">
              <w:rPr>
                <w:sz w:val="22"/>
                <w:szCs w:val="22"/>
                <w:lang w:eastAsia="bg-BG"/>
              </w:rPr>
              <w:t>електрически</w:t>
            </w:r>
            <w:proofErr w:type="spellEnd"/>
            <w:proofErr w:type="gramEnd"/>
            <w:r w:rsidRPr="0047454F">
              <w:rPr>
                <w:sz w:val="22"/>
                <w:szCs w:val="22"/>
                <w:lang w:eastAsia="bg-BG"/>
              </w:rPr>
              <w:t xml:space="preserve"> </w:t>
            </w:r>
            <w:proofErr w:type="spellStart"/>
            <w:r w:rsidRPr="0047454F">
              <w:rPr>
                <w:sz w:val="22"/>
                <w:szCs w:val="22"/>
                <w:lang w:eastAsia="bg-BG"/>
              </w:rPr>
              <w:t>уредби</w:t>
            </w:r>
            <w:proofErr w:type="spellEnd"/>
            <w:r w:rsidRPr="0047454F">
              <w:rPr>
                <w:sz w:val="22"/>
                <w:szCs w:val="22"/>
                <w:lang w:eastAsia="bg-BG"/>
              </w:rPr>
              <w:t xml:space="preserve"> и </w:t>
            </w:r>
            <w:proofErr w:type="spellStart"/>
            <w:r w:rsidRPr="0047454F">
              <w:rPr>
                <w:sz w:val="22"/>
                <w:szCs w:val="22"/>
                <w:lang w:eastAsia="bg-BG"/>
              </w:rPr>
              <w:t>съоръжения</w:t>
            </w:r>
            <w:proofErr w:type="spellEnd"/>
            <w:r w:rsidRPr="0047454F">
              <w:rPr>
                <w:sz w:val="22"/>
                <w:szCs w:val="22"/>
                <w:lang w:eastAsia="bg-BG"/>
              </w:rPr>
              <w:t>.</w:t>
            </w:r>
          </w:p>
        </w:tc>
      </w:tr>
      <w:tr w:rsidR="00201E47" w:rsidRPr="00281E89" w:rsidTr="00B77C69">
        <w:trPr>
          <w:cantSplit/>
          <w:trHeight w:val="426"/>
        </w:trPr>
        <w:tc>
          <w:tcPr>
            <w:tcW w:w="3544" w:type="dxa"/>
            <w:vMerge/>
            <w:tcBorders>
              <w:left w:val="single" w:sz="4" w:space="0" w:color="auto"/>
              <w:right w:val="single" w:sz="4" w:space="0" w:color="auto"/>
            </w:tcBorders>
          </w:tcPr>
          <w:p w:rsidR="00201E47" w:rsidRPr="00B77C69" w:rsidRDefault="00201E47" w:rsidP="00E24C5D">
            <w:pPr>
              <w:pStyle w:val="a9"/>
              <w:numPr>
                <w:ilvl w:val="1"/>
                <w:numId w:val="29"/>
              </w:numPr>
              <w:tabs>
                <w:tab w:val="left" w:pos="460"/>
              </w:tabs>
              <w:ind w:left="0" w:firstLine="0"/>
              <w:jc w:val="both"/>
              <w:rPr>
                <w:rFonts w:ascii="Times New Roman" w:hAnsi="Times New Roman"/>
                <w:sz w:val="22"/>
                <w:szCs w:val="22"/>
                <w:lang w:val="bg-BG"/>
              </w:rPr>
            </w:pPr>
          </w:p>
        </w:tc>
        <w:tc>
          <w:tcPr>
            <w:tcW w:w="6946" w:type="dxa"/>
            <w:tcBorders>
              <w:top w:val="single" w:sz="4" w:space="0" w:color="auto"/>
              <w:left w:val="single" w:sz="4" w:space="0" w:color="auto"/>
              <w:right w:val="single" w:sz="4" w:space="0" w:color="auto"/>
            </w:tcBorders>
            <w:vAlign w:val="center"/>
          </w:tcPr>
          <w:p w:rsidR="00201E47" w:rsidRPr="0047454F" w:rsidRDefault="00201E47" w:rsidP="00201E47">
            <w:pPr>
              <w:rPr>
                <w:sz w:val="22"/>
                <w:szCs w:val="22"/>
                <w:lang w:val="ru-RU" w:eastAsia="bg-BG"/>
              </w:rPr>
            </w:pPr>
            <w:r w:rsidRPr="0047454F">
              <w:rPr>
                <w:b/>
                <w:sz w:val="22"/>
                <w:szCs w:val="22"/>
                <w:lang w:val="ru-RU" w:eastAsia="bg-BG"/>
              </w:rPr>
              <w:t>Претендентът/ подизпълнител</w:t>
            </w:r>
            <w:r w:rsidRPr="0047454F">
              <w:rPr>
                <w:sz w:val="22"/>
                <w:szCs w:val="22"/>
                <w:lang w:val="ru-RU" w:eastAsia="bg-BG"/>
              </w:rPr>
              <w:t xml:space="preserve"> е задължен да има и да поддържа през периода на действие на договора валиден сертификат </w:t>
            </w:r>
          </w:p>
          <w:p w:rsidR="00201E47" w:rsidRPr="0047454F" w:rsidRDefault="00201E47" w:rsidP="00201E47">
            <w:pPr>
              <w:rPr>
                <w:sz w:val="22"/>
                <w:szCs w:val="22"/>
                <w:lang w:val="ru-RU" w:eastAsia="bg-BG"/>
              </w:rPr>
            </w:pPr>
            <w:r w:rsidRPr="0047454F">
              <w:rPr>
                <w:sz w:val="22"/>
                <w:szCs w:val="22"/>
                <w:lang w:eastAsia="bg-BG"/>
              </w:rPr>
              <w:t>EN</w:t>
            </w:r>
            <w:r w:rsidRPr="0047454F">
              <w:rPr>
                <w:sz w:val="22"/>
                <w:szCs w:val="22"/>
                <w:lang w:val="ru-RU" w:eastAsia="bg-BG"/>
              </w:rPr>
              <w:t xml:space="preserve"> </w:t>
            </w:r>
            <w:r w:rsidRPr="0047454F">
              <w:rPr>
                <w:sz w:val="22"/>
                <w:szCs w:val="22"/>
                <w:lang w:eastAsia="bg-BG"/>
              </w:rPr>
              <w:t>ISO</w:t>
            </w:r>
            <w:r w:rsidRPr="0047454F">
              <w:rPr>
                <w:sz w:val="22"/>
                <w:szCs w:val="22"/>
                <w:lang w:val="ru-RU" w:eastAsia="bg-BG"/>
              </w:rPr>
              <w:t xml:space="preserve"> 3834-2:2005 „Изисквания за качество при заваряване“.</w:t>
            </w:r>
          </w:p>
        </w:tc>
      </w:tr>
      <w:tr w:rsidR="00201E47" w:rsidRPr="00281E89" w:rsidTr="00B77C69">
        <w:trPr>
          <w:cantSplit/>
        </w:trPr>
        <w:tc>
          <w:tcPr>
            <w:tcW w:w="3544" w:type="dxa"/>
            <w:vMerge w:val="restart"/>
            <w:tcBorders>
              <w:top w:val="single" w:sz="4" w:space="0" w:color="auto"/>
              <w:left w:val="single" w:sz="4" w:space="0" w:color="auto"/>
              <w:right w:val="single" w:sz="4" w:space="0" w:color="auto"/>
            </w:tcBorders>
          </w:tcPr>
          <w:p w:rsidR="00201E47" w:rsidRPr="00B77C69" w:rsidRDefault="00201E47" w:rsidP="00E24C5D">
            <w:pPr>
              <w:pStyle w:val="a9"/>
              <w:numPr>
                <w:ilvl w:val="1"/>
                <w:numId w:val="29"/>
              </w:numPr>
              <w:tabs>
                <w:tab w:val="left" w:pos="460"/>
              </w:tabs>
              <w:rPr>
                <w:rFonts w:ascii="Times New Roman" w:hAnsi="Times New Roman"/>
                <w:color w:val="000000"/>
                <w:sz w:val="22"/>
                <w:szCs w:val="22"/>
                <w:lang w:eastAsia="bg-BG"/>
              </w:rPr>
            </w:pPr>
            <w:r w:rsidRPr="00B77C69">
              <w:rPr>
                <w:rFonts w:ascii="Times New Roman" w:hAnsi="Times New Roman"/>
                <w:color w:val="000000"/>
                <w:sz w:val="22"/>
                <w:szCs w:val="22"/>
                <w:lang w:val="bg-BG" w:eastAsia="bg-BG"/>
              </w:rPr>
              <w:t xml:space="preserve"> Компетентност и квалификация</w:t>
            </w:r>
          </w:p>
        </w:tc>
        <w:tc>
          <w:tcPr>
            <w:tcW w:w="6946" w:type="dxa"/>
            <w:tcBorders>
              <w:top w:val="single" w:sz="4" w:space="0" w:color="auto"/>
              <w:left w:val="single" w:sz="4" w:space="0" w:color="auto"/>
              <w:bottom w:val="single" w:sz="4" w:space="0" w:color="auto"/>
              <w:right w:val="single" w:sz="4" w:space="0" w:color="auto"/>
            </w:tcBorders>
            <w:vAlign w:val="center"/>
          </w:tcPr>
          <w:p w:rsidR="00201E47" w:rsidRPr="0047454F" w:rsidRDefault="00201E47" w:rsidP="00201E47">
            <w:pPr>
              <w:rPr>
                <w:sz w:val="22"/>
                <w:szCs w:val="22"/>
                <w:lang w:val="ru-RU" w:eastAsia="bg-BG"/>
              </w:rPr>
            </w:pPr>
            <w:r w:rsidRPr="0047454F">
              <w:rPr>
                <w:b/>
                <w:sz w:val="22"/>
                <w:szCs w:val="22"/>
                <w:lang w:val="ru-RU" w:eastAsia="bg-BG"/>
              </w:rPr>
              <w:t>Претендентът</w:t>
            </w:r>
            <w:r w:rsidRPr="0047454F">
              <w:rPr>
                <w:sz w:val="22"/>
                <w:szCs w:val="22"/>
                <w:lang w:val="ru-RU" w:eastAsia="bg-BG"/>
              </w:rPr>
              <w:t xml:space="preserve"> предоставя списък с негов или на </w:t>
            </w:r>
            <w:r w:rsidRPr="0047454F">
              <w:rPr>
                <w:b/>
                <w:sz w:val="22"/>
                <w:szCs w:val="22"/>
                <w:lang w:val="ru-RU" w:eastAsia="bg-BG"/>
              </w:rPr>
              <w:t>подизпълнител</w:t>
            </w:r>
            <w:r w:rsidRPr="0047454F">
              <w:rPr>
                <w:sz w:val="22"/>
                <w:szCs w:val="22"/>
                <w:lang w:val="ru-RU" w:eastAsia="bg-BG"/>
              </w:rPr>
              <w:t xml:space="preserve"> изпълнителски персонал, с квалификационна група в съответствие с „Правилник за безопасност и здраве при работа в електрически уредби на електрически и топлофикационни централи и по електрически мрежи“, (загл. Изм. – дв, бр. 19 от 2005 г.), издаден от Министерство на енергетиката и енергийните ресурси, в сила от 29.08.2004 г.</w:t>
            </w:r>
          </w:p>
        </w:tc>
      </w:tr>
      <w:tr w:rsidR="00201E47" w:rsidRPr="00281E89" w:rsidTr="00B77C69">
        <w:trPr>
          <w:cantSplit/>
        </w:trPr>
        <w:tc>
          <w:tcPr>
            <w:tcW w:w="3544" w:type="dxa"/>
            <w:vMerge/>
            <w:tcBorders>
              <w:left w:val="single" w:sz="4" w:space="0" w:color="auto"/>
              <w:bottom w:val="single" w:sz="4" w:space="0" w:color="auto"/>
              <w:right w:val="single" w:sz="4" w:space="0" w:color="auto"/>
            </w:tcBorders>
          </w:tcPr>
          <w:p w:rsidR="00201E47" w:rsidRPr="00B77C69" w:rsidRDefault="00201E47" w:rsidP="00E24C5D">
            <w:pPr>
              <w:pStyle w:val="a9"/>
              <w:numPr>
                <w:ilvl w:val="1"/>
                <w:numId w:val="29"/>
              </w:numPr>
              <w:tabs>
                <w:tab w:val="left" w:pos="460"/>
              </w:tabs>
              <w:rPr>
                <w:rFonts w:ascii="Times New Roman" w:hAnsi="Times New Roman"/>
                <w:color w:val="000000"/>
                <w:sz w:val="22"/>
                <w:szCs w:val="22"/>
                <w:lang w:eastAsia="bg-BG"/>
              </w:rPr>
            </w:pPr>
          </w:p>
        </w:tc>
        <w:tc>
          <w:tcPr>
            <w:tcW w:w="6946" w:type="dxa"/>
            <w:tcBorders>
              <w:top w:val="single" w:sz="4" w:space="0" w:color="auto"/>
              <w:left w:val="single" w:sz="4" w:space="0" w:color="auto"/>
              <w:bottom w:val="single" w:sz="4" w:space="0" w:color="auto"/>
              <w:right w:val="single" w:sz="4" w:space="0" w:color="auto"/>
            </w:tcBorders>
            <w:vAlign w:val="center"/>
          </w:tcPr>
          <w:p w:rsidR="00201E47" w:rsidRPr="0047454F" w:rsidRDefault="00201E47" w:rsidP="00201E47">
            <w:pPr>
              <w:rPr>
                <w:sz w:val="22"/>
                <w:szCs w:val="22"/>
                <w:lang w:val="ru-RU" w:eastAsia="bg-BG"/>
              </w:rPr>
            </w:pPr>
            <w:r w:rsidRPr="0047454F">
              <w:rPr>
                <w:b/>
                <w:sz w:val="22"/>
                <w:szCs w:val="22"/>
                <w:lang w:val="ru-RU" w:eastAsia="bg-BG"/>
              </w:rPr>
              <w:t>Претендентът</w:t>
            </w:r>
            <w:r w:rsidRPr="0047454F">
              <w:rPr>
                <w:sz w:val="22"/>
                <w:szCs w:val="22"/>
                <w:lang w:val="ru-RU" w:eastAsia="bg-BG"/>
              </w:rPr>
              <w:t xml:space="preserve"> предоставя списък с негов или на </w:t>
            </w:r>
            <w:r w:rsidRPr="0047454F">
              <w:rPr>
                <w:b/>
                <w:sz w:val="22"/>
                <w:szCs w:val="22"/>
                <w:lang w:val="ru-RU" w:eastAsia="bg-BG"/>
              </w:rPr>
              <w:t>подизпълнител</w:t>
            </w:r>
            <w:r w:rsidRPr="0047454F">
              <w:rPr>
                <w:sz w:val="22"/>
                <w:szCs w:val="22"/>
                <w:lang w:val="ru-RU" w:eastAsia="bg-BG"/>
              </w:rPr>
              <w:t xml:space="preserve"> ръководен и изпълнителски персонал, включително и отговорните за безопасността на работа, с квалификационна група съгласно изискванията на чл. 39 от Правилник за безопасност при работа в неелектрическите уредби на електрически и топлофикационни централи, по топлопреносни мрежи и хидротехнически съоръжения.</w:t>
            </w:r>
          </w:p>
        </w:tc>
      </w:tr>
    </w:tbl>
    <w:p w:rsidR="00E24C5D" w:rsidRPr="0047454F" w:rsidRDefault="00E24C5D">
      <w:pPr>
        <w:rPr>
          <w:sz w:val="22"/>
          <w:szCs w:val="22"/>
          <w:lang w:val="ru-RU"/>
        </w:rPr>
      </w:pPr>
      <w:r w:rsidRPr="0047454F">
        <w:rPr>
          <w:sz w:val="22"/>
          <w:szCs w:val="22"/>
          <w:lang w:val="ru-RU"/>
        </w:rPr>
        <w:br w:type="page"/>
      </w:r>
    </w:p>
    <w:tbl>
      <w:tblPr>
        <w:tblW w:w="10490" w:type="dxa"/>
        <w:tblInd w:w="-11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6946"/>
      </w:tblGrid>
      <w:tr w:rsidR="00201E47" w:rsidRPr="00281E89" w:rsidTr="00B77C69">
        <w:trPr>
          <w:cantSplit/>
          <w:trHeight w:val="47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01E47" w:rsidRPr="00B77C69" w:rsidRDefault="00201E47" w:rsidP="00201E47">
            <w:pPr>
              <w:tabs>
                <w:tab w:val="right" w:pos="7254"/>
              </w:tabs>
              <w:spacing w:before="60" w:after="60"/>
              <w:rPr>
                <w:b/>
                <w:sz w:val="22"/>
                <w:szCs w:val="22"/>
                <w:lang w:val="bg-BG"/>
              </w:rPr>
            </w:pPr>
            <w:r w:rsidRPr="00B77C69">
              <w:rPr>
                <w:sz w:val="22"/>
                <w:szCs w:val="22"/>
                <w:lang w:val="bg-BG"/>
              </w:rPr>
              <w:lastRenderedPageBreak/>
              <w:br w:type="page"/>
            </w:r>
            <w:r w:rsidRPr="00B77C69">
              <w:rPr>
                <w:b/>
                <w:sz w:val="22"/>
                <w:szCs w:val="22"/>
                <w:lang w:val="bg-BG"/>
              </w:rPr>
              <w:t>Критерии за удовлетворяване на минималните изисквания от раздел ІІ:</w:t>
            </w:r>
          </w:p>
        </w:tc>
      </w:tr>
      <w:tr w:rsidR="00201E47" w:rsidRPr="00B77C69" w:rsidTr="00B77C69">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201E47" w:rsidRPr="00B77C69" w:rsidRDefault="00201E47" w:rsidP="00201E47">
            <w:pPr>
              <w:pStyle w:val="a9"/>
              <w:tabs>
                <w:tab w:val="left" w:pos="318"/>
              </w:tabs>
              <w:ind w:left="0"/>
              <w:jc w:val="both"/>
              <w:rPr>
                <w:rFonts w:ascii="Times New Roman" w:hAnsi="Times New Roman"/>
                <w:sz w:val="22"/>
                <w:szCs w:val="22"/>
                <w:lang w:val="bg-BG"/>
              </w:rPr>
            </w:pPr>
            <w:r w:rsidRPr="00B77C69">
              <w:rPr>
                <w:rFonts w:ascii="Times New Roman" w:hAnsi="Times New Roman"/>
                <w:sz w:val="22"/>
                <w:szCs w:val="22"/>
                <w:lang w:val="bg-BG"/>
              </w:rPr>
              <w:t>Претендентът самостоятелно покрива всички изисквания</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201E47" w:rsidRPr="00B77C69" w:rsidRDefault="00201E47" w:rsidP="00201E47">
            <w:pPr>
              <w:autoSpaceDE w:val="0"/>
              <w:autoSpaceDN w:val="0"/>
              <w:adjustRightInd w:val="0"/>
              <w:spacing w:before="60"/>
              <w:ind w:right="249"/>
              <w:rPr>
                <w:sz w:val="22"/>
                <w:szCs w:val="22"/>
                <w:lang w:val="bg-BG"/>
              </w:rPr>
            </w:pPr>
            <w:r w:rsidRPr="00B77C69">
              <w:rPr>
                <w:sz w:val="22"/>
                <w:szCs w:val="22"/>
                <w:lang w:val="bg-BG"/>
              </w:rPr>
              <w:t>Да</w:t>
            </w:r>
          </w:p>
        </w:tc>
      </w:tr>
      <w:tr w:rsidR="00201E47" w:rsidRPr="00281E89" w:rsidTr="00B77C69">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201E47" w:rsidRPr="00B77C69" w:rsidRDefault="00201E47" w:rsidP="00201E47">
            <w:pPr>
              <w:pStyle w:val="a9"/>
              <w:tabs>
                <w:tab w:val="left" w:pos="318"/>
              </w:tabs>
              <w:ind w:left="0"/>
              <w:jc w:val="both"/>
              <w:rPr>
                <w:rFonts w:ascii="Times New Roman" w:hAnsi="Times New Roman"/>
                <w:sz w:val="22"/>
                <w:szCs w:val="22"/>
                <w:lang w:val="bg-BG"/>
              </w:rPr>
            </w:pPr>
            <w:r w:rsidRPr="00B77C69">
              <w:rPr>
                <w:rFonts w:ascii="Times New Roman" w:hAnsi="Times New Roman"/>
                <w:sz w:val="22"/>
                <w:szCs w:val="22"/>
                <w:lang w:val="bg-BG"/>
              </w:rPr>
              <w:t xml:space="preserve">Претендентът, съвместно с подизпълнителя/ите, покриват всички изисквания </w:t>
            </w:r>
          </w:p>
        </w:tc>
        <w:tc>
          <w:tcPr>
            <w:tcW w:w="6946" w:type="dxa"/>
            <w:tcBorders>
              <w:top w:val="single" w:sz="3" w:space="0" w:color="auto"/>
              <w:left w:val="single" w:sz="3" w:space="0" w:color="auto"/>
              <w:bottom w:val="single" w:sz="3" w:space="0" w:color="auto"/>
              <w:right w:val="single" w:sz="3" w:space="0" w:color="auto"/>
            </w:tcBorders>
            <w:shd w:val="clear" w:color="auto" w:fill="FFFFFF" w:themeFill="background1"/>
          </w:tcPr>
          <w:p w:rsidR="00201E47" w:rsidRPr="00B77C69" w:rsidRDefault="00201E47" w:rsidP="00201E47">
            <w:pPr>
              <w:tabs>
                <w:tab w:val="right" w:pos="7254"/>
              </w:tabs>
              <w:spacing w:before="60" w:after="60"/>
              <w:rPr>
                <w:iCs/>
                <w:sz w:val="22"/>
                <w:szCs w:val="22"/>
                <w:lang w:val="bg-BG"/>
              </w:rPr>
            </w:pPr>
            <w:r w:rsidRPr="00B77C69">
              <w:rPr>
                <w:iCs/>
                <w:sz w:val="22"/>
                <w:szCs w:val="22"/>
                <w:lang w:val="bg-BG"/>
              </w:rPr>
              <w:t xml:space="preserve">ДА </w:t>
            </w:r>
            <w:r w:rsidRPr="00B77C69">
              <w:rPr>
                <w:b/>
                <w:iCs/>
                <w:sz w:val="22"/>
                <w:szCs w:val="22"/>
                <w:lang w:val="bg-BG"/>
              </w:rPr>
              <w:t>-</w:t>
            </w:r>
            <w:r w:rsidRPr="00B77C69">
              <w:rPr>
                <w:iCs/>
                <w:sz w:val="22"/>
                <w:szCs w:val="22"/>
                <w:lang w:val="bg-BG"/>
              </w:rPr>
              <w:t xml:space="preserve"> за т. </w:t>
            </w:r>
            <w:r w:rsidR="00C85A54" w:rsidRPr="00B77C69">
              <w:rPr>
                <w:iCs/>
                <w:sz w:val="22"/>
                <w:szCs w:val="22"/>
                <w:lang w:val="bg-BG"/>
              </w:rPr>
              <w:t>2.5 и т. 2.6</w:t>
            </w:r>
          </w:p>
          <w:p w:rsidR="00201E47" w:rsidRPr="00B77C69" w:rsidRDefault="00201E47" w:rsidP="00201E47">
            <w:pPr>
              <w:tabs>
                <w:tab w:val="right" w:pos="7254"/>
              </w:tabs>
              <w:spacing w:before="60" w:after="60"/>
              <w:rPr>
                <w:b/>
                <w:iCs/>
                <w:sz w:val="22"/>
                <w:szCs w:val="22"/>
                <w:lang w:val="bg-BG"/>
              </w:rPr>
            </w:pPr>
            <w:r w:rsidRPr="00B77C69">
              <w:rPr>
                <w:iCs/>
                <w:sz w:val="22"/>
                <w:szCs w:val="22"/>
                <w:lang w:val="bg-BG"/>
              </w:rPr>
              <w:t>Претендентът попълва информация за подизпълнител/и, съгласно Форма 1</w:t>
            </w:r>
            <w:r w:rsidRPr="00B77C69">
              <w:rPr>
                <w:b/>
                <w:iCs/>
                <w:sz w:val="22"/>
                <w:szCs w:val="22"/>
                <w:lang w:val="bg-BG"/>
              </w:rPr>
              <w:t>;</w:t>
            </w:r>
          </w:p>
          <w:p w:rsidR="00201E47" w:rsidRPr="00B77C69" w:rsidRDefault="00201E47" w:rsidP="00201E47">
            <w:pPr>
              <w:pStyle w:val="a9"/>
              <w:numPr>
                <w:ilvl w:val="0"/>
                <w:numId w:val="10"/>
              </w:numPr>
              <w:tabs>
                <w:tab w:val="right" w:pos="7254"/>
              </w:tabs>
              <w:spacing w:before="60" w:after="60"/>
              <w:ind w:left="175" w:hanging="175"/>
              <w:jc w:val="both"/>
              <w:rPr>
                <w:rFonts w:ascii="Times New Roman" w:hAnsi="Times New Roman"/>
                <w:iCs/>
                <w:sz w:val="22"/>
                <w:szCs w:val="22"/>
                <w:lang w:val="bg-BG"/>
              </w:rPr>
            </w:pPr>
            <w:r w:rsidRPr="00B77C69">
              <w:rPr>
                <w:rFonts w:ascii="Times New Roman" w:hAnsi="Times New Roman"/>
                <w:iCs/>
                <w:sz w:val="22"/>
                <w:szCs w:val="22"/>
                <w:lang w:val="bg-BG"/>
              </w:rPr>
              <w:t>Претендентът представя официални документи за взаимоотношенията с подизпълнител/и за конкретния тендер.</w:t>
            </w:r>
          </w:p>
        </w:tc>
      </w:tr>
      <w:tr w:rsidR="00201E47" w:rsidRPr="00281E89" w:rsidTr="00B77C69">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201E47" w:rsidRPr="00B77C69" w:rsidRDefault="00201E47" w:rsidP="00201E47">
            <w:pPr>
              <w:pStyle w:val="a9"/>
              <w:tabs>
                <w:tab w:val="left" w:pos="318"/>
              </w:tabs>
              <w:ind w:left="0"/>
              <w:jc w:val="both"/>
              <w:rPr>
                <w:rFonts w:ascii="Times New Roman" w:hAnsi="Times New Roman"/>
                <w:sz w:val="22"/>
                <w:szCs w:val="22"/>
                <w:lang w:val="bg-BG"/>
              </w:rPr>
            </w:pPr>
            <w:r w:rsidRPr="00B77C69">
              <w:rPr>
                <w:rFonts w:ascii="Times New Roman" w:hAnsi="Times New Roman"/>
                <w:sz w:val="22"/>
                <w:szCs w:val="22"/>
                <w:lang w:val="bg-BG"/>
              </w:rPr>
              <w:t>Претендентът - консорциум/ дружество по Закона за задълженията и договорите, покриват всички изисквания</w:t>
            </w:r>
          </w:p>
        </w:tc>
        <w:tc>
          <w:tcPr>
            <w:tcW w:w="6946" w:type="dxa"/>
            <w:tcBorders>
              <w:top w:val="single" w:sz="3" w:space="0" w:color="auto"/>
              <w:left w:val="single" w:sz="3" w:space="0" w:color="auto"/>
              <w:bottom w:val="single" w:sz="3" w:space="0" w:color="auto"/>
              <w:right w:val="single" w:sz="3" w:space="0" w:color="auto"/>
            </w:tcBorders>
            <w:shd w:val="clear" w:color="auto" w:fill="FFFFFF" w:themeFill="background1"/>
          </w:tcPr>
          <w:p w:rsidR="00201E47" w:rsidRPr="00B77C69" w:rsidRDefault="00201E47" w:rsidP="00201E47">
            <w:pPr>
              <w:tabs>
                <w:tab w:val="right" w:pos="7254"/>
              </w:tabs>
              <w:spacing w:before="60" w:after="60"/>
              <w:rPr>
                <w:iCs/>
                <w:sz w:val="22"/>
                <w:szCs w:val="22"/>
                <w:lang w:val="bg-BG"/>
              </w:rPr>
            </w:pPr>
            <w:r w:rsidRPr="00B77C69">
              <w:rPr>
                <w:iCs/>
                <w:sz w:val="22"/>
                <w:szCs w:val="22"/>
                <w:lang w:val="bg-BG"/>
              </w:rPr>
              <w:t>ДА</w:t>
            </w:r>
          </w:p>
          <w:p w:rsidR="00201E47" w:rsidRPr="00B77C69" w:rsidRDefault="00201E47" w:rsidP="00201E47">
            <w:pPr>
              <w:pStyle w:val="a9"/>
              <w:numPr>
                <w:ilvl w:val="0"/>
                <w:numId w:val="10"/>
              </w:numPr>
              <w:tabs>
                <w:tab w:val="right" w:pos="7254"/>
              </w:tabs>
              <w:spacing w:before="60" w:after="60"/>
              <w:ind w:left="175" w:hanging="175"/>
              <w:jc w:val="both"/>
              <w:rPr>
                <w:rFonts w:ascii="Times New Roman" w:hAnsi="Times New Roman"/>
                <w:iCs/>
                <w:sz w:val="22"/>
                <w:szCs w:val="22"/>
                <w:lang w:val="bg-BG"/>
              </w:rPr>
            </w:pPr>
            <w:r w:rsidRPr="00B77C69">
              <w:rPr>
                <w:rFonts w:ascii="Times New Roman" w:hAnsi="Times New Roman"/>
                <w:iCs/>
                <w:sz w:val="22"/>
                <w:szCs w:val="22"/>
                <w:lang w:val="bg-BG"/>
              </w:rPr>
              <w:t>Претендентът представя официални документи за  съдружие/споразумение и контрола на главния офис (ако има);</w:t>
            </w:r>
          </w:p>
          <w:p w:rsidR="00201E47" w:rsidRPr="00B77C69" w:rsidRDefault="00201E47" w:rsidP="00201E47">
            <w:pPr>
              <w:pStyle w:val="a9"/>
              <w:numPr>
                <w:ilvl w:val="0"/>
                <w:numId w:val="10"/>
              </w:numPr>
              <w:tabs>
                <w:tab w:val="right" w:pos="7254"/>
              </w:tabs>
              <w:spacing w:before="60" w:after="60"/>
              <w:ind w:left="175" w:hanging="175"/>
              <w:jc w:val="both"/>
              <w:rPr>
                <w:rFonts w:ascii="Times New Roman" w:hAnsi="Times New Roman"/>
                <w:iCs/>
                <w:sz w:val="22"/>
                <w:szCs w:val="22"/>
                <w:lang w:val="bg-BG" w:eastAsia="en-US"/>
              </w:rPr>
            </w:pPr>
            <w:r w:rsidRPr="00B77C69">
              <w:rPr>
                <w:rFonts w:ascii="Times New Roman" w:hAnsi="Times New Roman"/>
                <w:iCs/>
                <w:sz w:val="22"/>
                <w:szCs w:val="22"/>
                <w:lang w:val="bg-BG"/>
              </w:rPr>
              <w:t>Претендентът попълва съответната информация за съдружниците (за всеки поотделно) и главния офис (ако има) във Форма 1,</w:t>
            </w:r>
            <w:r w:rsidRPr="00B77C69">
              <w:rPr>
                <w:rFonts w:ascii="Times New Roman" w:hAnsi="Times New Roman"/>
                <w:b/>
                <w:iCs/>
                <w:sz w:val="22"/>
                <w:szCs w:val="22"/>
                <w:lang w:val="bg-BG"/>
              </w:rPr>
              <w:t xml:space="preserve"> </w:t>
            </w:r>
            <w:r w:rsidRPr="00B77C69">
              <w:rPr>
                <w:rFonts w:ascii="Times New Roman" w:hAnsi="Times New Roman"/>
                <w:iCs/>
                <w:sz w:val="22"/>
                <w:szCs w:val="22"/>
                <w:lang w:val="bg-BG"/>
              </w:rPr>
              <w:t>съгласно изискванията на АСПТ</w:t>
            </w:r>
            <w:r w:rsidRPr="00B77C69">
              <w:rPr>
                <w:rFonts w:ascii="Times New Roman" w:hAnsi="Times New Roman"/>
                <w:iCs/>
                <w:sz w:val="22"/>
                <w:szCs w:val="22"/>
                <w:lang w:val="bg-BG" w:eastAsia="en-US"/>
              </w:rPr>
              <w:t>.</w:t>
            </w:r>
          </w:p>
        </w:tc>
      </w:tr>
      <w:tr w:rsidR="00201E47" w:rsidRPr="00281E89" w:rsidTr="00B77C69">
        <w:trPr>
          <w:cantSplit/>
          <w:trHeight w:val="47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01E47" w:rsidRPr="00B77C69" w:rsidRDefault="00201E47" w:rsidP="00201E47">
            <w:pPr>
              <w:tabs>
                <w:tab w:val="right" w:pos="7254"/>
              </w:tabs>
              <w:spacing w:before="60" w:after="60"/>
              <w:rPr>
                <w:b/>
                <w:sz w:val="22"/>
                <w:szCs w:val="22"/>
                <w:lang w:val="bg-BG" w:eastAsia="ru-RU"/>
              </w:rPr>
            </w:pPr>
            <w:r w:rsidRPr="00B77C69">
              <w:rPr>
                <w:b/>
                <w:sz w:val="22"/>
                <w:szCs w:val="22"/>
                <w:lang w:val="bg-BG" w:eastAsia="ru-RU"/>
              </w:rPr>
              <w:t>ВАЖНО!</w:t>
            </w:r>
          </w:p>
          <w:p w:rsidR="00201E47" w:rsidRPr="00B77C69" w:rsidRDefault="00201E47" w:rsidP="00201E47">
            <w:pPr>
              <w:tabs>
                <w:tab w:val="right" w:pos="7254"/>
              </w:tabs>
              <w:spacing w:before="60" w:after="60"/>
              <w:rPr>
                <w:b/>
                <w:sz w:val="22"/>
                <w:szCs w:val="22"/>
                <w:lang w:val="bg-BG" w:eastAsia="ru-RU"/>
              </w:rPr>
            </w:pPr>
            <w:r w:rsidRPr="00B77C69">
              <w:rPr>
                <w:b/>
                <w:sz w:val="22"/>
                <w:szCs w:val="22"/>
                <w:lang w:val="bg-BG" w:eastAsia="ru-RU"/>
              </w:rPr>
              <w:t>Не се допускат до участие в тендерна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201E47" w:rsidRPr="00B77C69" w:rsidRDefault="00201E47" w:rsidP="00201E47">
            <w:pPr>
              <w:tabs>
                <w:tab w:val="right" w:pos="7254"/>
              </w:tabs>
              <w:spacing w:before="60" w:after="60"/>
              <w:rPr>
                <w:b/>
                <w:sz w:val="22"/>
                <w:szCs w:val="22"/>
                <w:lang w:val="bg-BG" w:eastAsia="ru-RU"/>
              </w:rPr>
            </w:pPr>
            <w:r w:rsidRPr="00B77C69">
              <w:rPr>
                <w:b/>
                <w:sz w:val="22"/>
                <w:szCs w:val="22"/>
                <w:lang w:val="bg-BG" w:eastAsia="ru-RU"/>
              </w:rPr>
              <w:t>Юридическо лице или негов подизпълнител и/или техни служители, участвали в изготвянето на проектна документация предмет на тендера, няма да бъдат допускани до участие в тендера.</w:t>
            </w:r>
          </w:p>
          <w:p w:rsidR="00201E47" w:rsidRPr="00B77C69" w:rsidRDefault="00201E47" w:rsidP="00201E47">
            <w:pPr>
              <w:tabs>
                <w:tab w:val="right" w:pos="7254"/>
              </w:tabs>
              <w:spacing w:before="60" w:after="60"/>
              <w:rPr>
                <w:b/>
                <w:sz w:val="22"/>
                <w:szCs w:val="22"/>
                <w:lang w:val="bg-BG" w:eastAsia="ru-RU"/>
              </w:rPr>
            </w:pPr>
            <w:r w:rsidRPr="00B77C69">
              <w:rPr>
                <w:b/>
                <w:sz w:val="22"/>
                <w:szCs w:val="22"/>
                <w:lang w:val="bg-BG" w:eastAsia="ru-RU"/>
              </w:rPr>
              <w:t>Горните условия се установяват на етап оценка на оферти и в хода на изпълнение на работите.</w:t>
            </w:r>
          </w:p>
        </w:tc>
      </w:tr>
      <w:tr w:rsidR="00201E47" w:rsidRPr="00281E89" w:rsidTr="00B77C69">
        <w:trPr>
          <w:cantSplit/>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201E47" w:rsidRPr="00B77C69" w:rsidRDefault="00201E47" w:rsidP="00201E47">
            <w:pPr>
              <w:tabs>
                <w:tab w:val="right" w:pos="7254"/>
              </w:tabs>
              <w:spacing w:before="60" w:after="60"/>
              <w:rPr>
                <w:b/>
                <w:sz w:val="22"/>
                <w:szCs w:val="22"/>
                <w:lang w:val="bg-BG"/>
              </w:rPr>
            </w:pPr>
            <w:r w:rsidRPr="00B77C69">
              <w:rPr>
                <w:b/>
                <w:sz w:val="22"/>
                <w:szCs w:val="22"/>
                <w:lang w:val="bg-BG"/>
              </w:rPr>
              <w:t>III.  Срокове за отделните етапи на провеждане на тендера</w:t>
            </w:r>
          </w:p>
        </w:tc>
      </w:tr>
      <w:tr w:rsidR="00201E47"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460"/>
                <w:tab w:val="center" w:pos="4677"/>
                <w:tab w:val="right" w:pos="9355"/>
              </w:tabs>
              <w:spacing w:before="60" w:after="60"/>
              <w:rPr>
                <w:sz w:val="22"/>
                <w:szCs w:val="22"/>
                <w:lang w:val="bg-BG"/>
              </w:rPr>
            </w:pPr>
            <w:r w:rsidRPr="00B77C69">
              <w:rPr>
                <w:sz w:val="22"/>
                <w:szCs w:val="22"/>
                <w:lang w:val="bg-BG"/>
              </w:rPr>
              <w:t>3.1.</w:t>
            </w:r>
            <w:r w:rsidRPr="00B77C69">
              <w:rPr>
                <w:sz w:val="22"/>
                <w:szCs w:val="22"/>
                <w:lang w:val="bg-BG"/>
              </w:rPr>
              <w:tab/>
              <w:t>Краен срок за заявяване на участие в АСПТ*</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9136E0" w:rsidP="009136E0">
            <w:pPr>
              <w:tabs>
                <w:tab w:val="center" w:pos="4677"/>
                <w:tab w:val="right" w:pos="9355"/>
              </w:tabs>
              <w:spacing w:before="60" w:after="60"/>
              <w:jc w:val="left"/>
              <w:rPr>
                <w:i/>
                <w:iCs/>
                <w:sz w:val="22"/>
                <w:szCs w:val="22"/>
                <w:highlight w:val="yellow"/>
                <w:lang w:val="bg-BG"/>
              </w:rPr>
            </w:pPr>
            <w:r>
              <w:rPr>
                <w:sz w:val="22"/>
                <w:szCs w:val="22"/>
                <w:lang w:val="bg-BG"/>
              </w:rPr>
              <w:t>03</w:t>
            </w:r>
            <w:r w:rsidR="0018009F">
              <w:rPr>
                <w:sz w:val="22"/>
                <w:szCs w:val="22"/>
                <w:lang w:val="bg-BG"/>
              </w:rPr>
              <w:t>.1</w:t>
            </w:r>
            <w:r>
              <w:rPr>
                <w:sz w:val="22"/>
                <w:szCs w:val="22"/>
                <w:lang w:val="bg-BG"/>
              </w:rPr>
              <w:t>1</w:t>
            </w:r>
            <w:r w:rsidR="00201E47" w:rsidRPr="00B77C69">
              <w:rPr>
                <w:sz w:val="22"/>
                <w:szCs w:val="22"/>
                <w:lang w:val="bg-BG"/>
              </w:rPr>
              <w:t>.2020г.</w:t>
            </w:r>
          </w:p>
        </w:tc>
      </w:tr>
      <w:tr w:rsidR="00201E47"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460"/>
                <w:tab w:val="center" w:pos="4677"/>
                <w:tab w:val="right" w:pos="9355"/>
              </w:tabs>
              <w:spacing w:before="60" w:after="60"/>
              <w:rPr>
                <w:sz w:val="22"/>
                <w:szCs w:val="22"/>
                <w:lang w:val="bg-BG"/>
              </w:rPr>
            </w:pPr>
            <w:r w:rsidRPr="00B77C69">
              <w:rPr>
                <w:sz w:val="22"/>
                <w:szCs w:val="22"/>
                <w:lang w:val="bg-BG"/>
              </w:rPr>
              <w:t>3.2.</w:t>
            </w:r>
            <w:r w:rsidRPr="00B77C69">
              <w:rPr>
                <w:sz w:val="22"/>
                <w:szCs w:val="22"/>
                <w:lang w:val="bg-BG"/>
              </w:rPr>
              <w:tab/>
              <w:t>Краен срок за Искане за разяснения (форма 11 от АСПТ) от Претендента</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9136E0" w:rsidP="009136E0">
            <w:pPr>
              <w:tabs>
                <w:tab w:val="center" w:pos="4677"/>
                <w:tab w:val="right" w:pos="9355"/>
              </w:tabs>
              <w:spacing w:before="60" w:after="60"/>
              <w:jc w:val="left"/>
              <w:rPr>
                <w:i/>
                <w:iCs/>
                <w:sz w:val="22"/>
                <w:szCs w:val="22"/>
                <w:highlight w:val="yellow"/>
                <w:lang w:val="bg-BG"/>
              </w:rPr>
            </w:pPr>
            <w:r>
              <w:rPr>
                <w:sz w:val="22"/>
                <w:szCs w:val="22"/>
                <w:lang w:val="ru-RU"/>
              </w:rPr>
              <w:t>10</w:t>
            </w:r>
            <w:r w:rsidR="00201E47" w:rsidRPr="00B77C69">
              <w:rPr>
                <w:sz w:val="22"/>
                <w:szCs w:val="22"/>
                <w:lang w:val="bg-BG"/>
              </w:rPr>
              <w:t>.</w:t>
            </w:r>
            <w:r w:rsidR="0018009F">
              <w:rPr>
                <w:sz w:val="22"/>
                <w:szCs w:val="22"/>
                <w:lang w:val="bg-BG"/>
              </w:rPr>
              <w:t>11</w:t>
            </w:r>
            <w:r w:rsidR="00201E47" w:rsidRPr="00B77C69">
              <w:rPr>
                <w:sz w:val="22"/>
                <w:szCs w:val="22"/>
                <w:lang w:val="bg-BG"/>
              </w:rPr>
              <w:t>.2020г.</w:t>
            </w:r>
          </w:p>
        </w:tc>
      </w:tr>
      <w:tr w:rsidR="00201E47"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460"/>
              </w:tabs>
              <w:spacing w:before="60"/>
              <w:rPr>
                <w:sz w:val="22"/>
                <w:szCs w:val="22"/>
                <w:lang w:val="bg-BG"/>
              </w:rPr>
            </w:pPr>
            <w:r w:rsidRPr="00B77C69">
              <w:rPr>
                <w:sz w:val="22"/>
                <w:szCs w:val="22"/>
                <w:lang w:val="bg-BG"/>
              </w:rPr>
              <w:t>3.3.</w:t>
            </w:r>
            <w:r w:rsidRPr="00B77C69">
              <w:rPr>
                <w:sz w:val="22"/>
                <w:szCs w:val="22"/>
                <w:lang w:val="bg-BG"/>
              </w:rPr>
              <w:tab/>
              <w:t>Краен срок за приемане на оферти в АСПТ</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E43E9F" w:rsidP="00E43E9F">
            <w:pPr>
              <w:spacing w:before="60"/>
              <w:rPr>
                <w:sz w:val="22"/>
                <w:szCs w:val="22"/>
                <w:highlight w:val="yellow"/>
                <w:lang w:val="bg-BG"/>
              </w:rPr>
            </w:pPr>
            <w:r>
              <w:rPr>
                <w:sz w:val="22"/>
                <w:szCs w:val="22"/>
                <w:lang w:val="bg-BG"/>
              </w:rPr>
              <w:t>15</w:t>
            </w:r>
            <w:r w:rsidR="00201E47" w:rsidRPr="00B77C69">
              <w:rPr>
                <w:sz w:val="22"/>
                <w:szCs w:val="22"/>
                <w:lang w:val="bg-BG"/>
              </w:rPr>
              <w:t>.1</w:t>
            </w:r>
            <w:r w:rsidR="0018009F">
              <w:rPr>
                <w:sz w:val="22"/>
                <w:szCs w:val="22"/>
                <w:lang w:val="bg-BG"/>
              </w:rPr>
              <w:t>1</w:t>
            </w:r>
            <w:r w:rsidR="00201E47" w:rsidRPr="00B77C69">
              <w:rPr>
                <w:sz w:val="22"/>
                <w:szCs w:val="22"/>
                <w:lang w:val="bg-BG"/>
              </w:rPr>
              <w:t>.2020г.</w:t>
            </w:r>
          </w:p>
        </w:tc>
      </w:tr>
      <w:tr w:rsidR="00201E47" w:rsidRPr="00281E89" w:rsidTr="00B77C69">
        <w:tblPrEx>
          <w:tblBorders>
            <w:insideH w:val="single" w:sz="8" w:space="0" w:color="000000"/>
          </w:tblBorders>
        </w:tblPrEx>
        <w:trPr>
          <w:trHeight w:val="455"/>
        </w:trPr>
        <w:tc>
          <w:tcPr>
            <w:tcW w:w="10490" w:type="dxa"/>
            <w:gridSpan w:val="2"/>
            <w:tcBorders>
              <w:top w:val="single" w:sz="4" w:space="0" w:color="auto"/>
              <w:left w:val="single" w:sz="4" w:space="0" w:color="auto"/>
              <w:bottom w:val="single" w:sz="4" w:space="0" w:color="auto"/>
              <w:right w:val="single" w:sz="4" w:space="0" w:color="auto"/>
            </w:tcBorders>
            <w:vAlign w:val="center"/>
          </w:tcPr>
          <w:p w:rsidR="00201E47" w:rsidRPr="00B77C69" w:rsidRDefault="00201E47" w:rsidP="00201E47">
            <w:pPr>
              <w:tabs>
                <w:tab w:val="right" w:pos="7434"/>
              </w:tabs>
              <w:spacing w:before="60" w:after="60"/>
              <w:rPr>
                <w:b/>
                <w:sz w:val="22"/>
                <w:szCs w:val="22"/>
                <w:lang w:val="bg-BG"/>
              </w:rPr>
            </w:pPr>
            <w:r w:rsidRPr="00B77C69">
              <w:rPr>
                <w:b/>
                <w:sz w:val="22"/>
                <w:szCs w:val="22"/>
                <w:lang w:val="bg-BG"/>
              </w:rPr>
              <w:t>IV.  Адрес и контактна информация</w:t>
            </w:r>
          </w:p>
        </w:tc>
      </w:tr>
      <w:tr w:rsidR="00201E47" w:rsidRPr="00B77C69" w:rsidTr="00B77C69">
        <w:tblPrEx>
          <w:tblBorders>
            <w:insideH w:val="single" w:sz="8" w:space="0" w:color="000000"/>
          </w:tblBorders>
        </w:tblPrEx>
        <w:trPr>
          <w:trHeight w:val="279"/>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tabs>
                <w:tab w:val="left" w:pos="460"/>
              </w:tabs>
              <w:spacing w:before="60" w:after="60"/>
              <w:ind w:left="0"/>
              <w:contextualSpacing w:val="0"/>
              <w:jc w:val="both"/>
              <w:rPr>
                <w:rFonts w:ascii="Times New Roman" w:hAnsi="Times New Roman"/>
                <w:sz w:val="22"/>
                <w:szCs w:val="22"/>
                <w:lang w:val="bg-BG"/>
              </w:rPr>
            </w:pPr>
            <w:r w:rsidRPr="00B77C69">
              <w:rPr>
                <w:rFonts w:ascii="Times New Roman" w:hAnsi="Times New Roman"/>
                <w:sz w:val="22"/>
                <w:szCs w:val="22"/>
                <w:lang w:val="bg-BG" w:eastAsia="en-US"/>
              </w:rPr>
              <w:t>4.1.</w:t>
            </w:r>
            <w:r w:rsidRPr="00B77C69">
              <w:rPr>
                <w:rFonts w:ascii="Times New Roman" w:hAnsi="Times New Roman"/>
                <w:sz w:val="22"/>
                <w:szCs w:val="22"/>
                <w:lang w:val="bg-BG" w:eastAsia="en-US"/>
              </w:rPr>
              <w:tab/>
              <w:t>Адрес (e-mail) за електронна кореспонденция</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0D7103" w:rsidP="00201E47">
            <w:pPr>
              <w:spacing w:before="60"/>
              <w:rPr>
                <w:sz w:val="22"/>
                <w:szCs w:val="22"/>
                <w:lang w:val="bg-BG"/>
              </w:rPr>
            </w:pPr>
            <w:hyperlink r:id="rId8" w:history="1">
              <w:r w:rsidR="00201E47" w:rsidRPr="00B77C69">
                <w:rPr>
                  <w:rStyle w:val="a8"/>
                  <w:color w:val="auto"/>
                  <w:sz w:val="22"/>
                  <w:szCs w:val="22"/>
                  <w:u w:val="none"/>
                  <w:lang w:val="bg-BG"/>
                </w:rPr>
                <w:t>съгласно</w:t>
              </w:r>
            </w:hyperlink>
            <w:r w:rsidR="00201E47" w:rsidRPr="00B77C69">
              <w:rPr>
                <w:rStyle w:val="a8"/>
                <w:color w:val="auto"/>
                <w:sz w:val="22"/>
                <w:szCs w:val="22"/>
                <w:u w:val="none"/>
                <w:lang w:val="bg-BG"/>
              </w:rPr>
              <w:t xml:space="preserve"> АСПТ</w:t>
            </w:r>
          </w:p>
        </w:tc>
      </w:tr>
      <w:tr w:rsidR="00201E47" w:rsidRPr="00B77C6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vAlign w:val="center"/>
          </w:tcPr>
          <w:p w:rsidR="00201E47" w:rsidRPr="00B77C69" w:rsidRDefault="00201E47" w:rsidP="00201E47">
            <w:pPr>
              <w:tabs>
                <w:tab w:val="right" w:pos="7254"/>
              </w:tabs>
              <w:spacing w:before="60" w:after="60"/>
              <w:jc w:val="center"/>
              <w:rPr>
                <w:b/>
                <w:sz w:val="22"/>
                <w:szCs w:val="22"/>
                <w:lang w:val="bg-BG"/>
              </w:rPr>
            </w:pPr>
            <w:r w:rsidRPr="00B77C69">
              <w:rPr>
                <w:b/>
                <w:sz w:val="22"/>
                <w:szCs w:val="22"/>
                <w:lang w:val="bg-BG"/>
              </w:rPr>
              <w:t>V.  Подготовка на офертата</w:t>
            </w:r>
          </w:p>
        </w:tc>
      </w:tr>
      <w:tr w:rsidR="00201E47" w:rsidRPr="00B77C69" w:rsidTr="00B77C69">
        <w:tblPrEx>
          <w:tblBorders>
            <w:insideH w:val="single" w:sz="8" w:space="0" w:color="000000"/>
          </w:tblBorders>
        </w:tblPrEx>
        <w:trPr>
          <w:trHeight w:val="70"/>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460"/>
              </w:tabs>
              <w:spacing w:before="60" w:after="60"/>
              <w:rPr>
                <w:sz w:val="22"/>
                <w:szCs w:val="22"/>
                <w:lang w:val="bg-BG"/>
              </w:rPr>
            </w:pPr>
            <w:r w:rsidRPr="00B77C69">
              <w:rPr>
                <w:sz w:val="22"/>
                <w:szCs w:val="22"/>
                <w:lang w:val="bg-BG"/>
              </w:rPr>
              <w:t>5.1.</w:t>
            </w:r>
            <w:r w:rsidRPr="00B77C69">
              <w:rPr>
                <w:sz w:val="22"/>
                <w:szCs w:val="22"/>
                <w:lang w:val="bg-BG"/>
              </w:rPr>
              <w:tab/>
              <w:t>Език на офертата и за кореспонденция.</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spacing w:before="60" w:after="60"/>
              <w:rPr>
                <w:sz w:val="22"/>
                <w:szCs w:val="22"/>
                <w:lang w:val="bg-BG" w:eastAsia="ru-RU"/>
              </w:rPr>
            </w:pPr>
            <w:r w:rsidRPr="00B77C69">
              <w:rPr>
                <w:sz w:val="22"/>
                <w:szCs w:val="22"/>
                <w:lang w:val="bg-BG" w:eastAsia="ru-RU"/>
              </w:rPr>
              <w:t>Български език</w:t>
            </w:r>
          </w:p>
        </w:tc>
      </w:tr>
      <w:tr w:rsidR="00201E47" w:rsidRPr="00B77C69" w:rsidTr="00B77C69">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1"/>
                <w:numId w:val="3"/>
              </w:numPr>
              <w:tabs>
                <w:tab w:val="left" w:pos="460"/>
              </w:tabs>
              <w:spacing w:before="60" w:after="60"/>
              <w:contextualSpacing w:val="0"/>
              <w:rPr>
                <w:rFonts w:ascii="Times New Roman" w:hAnsi="Times New Roman"/>
                <w:sz w:val="22"/>
                <w:szCs w:val="22"/>
                <w:lang w:val="bg-BG"/>
              </w:rPr>
            </w:pPr>
            <w:r w:rsidRPr="00B77C69">
              <w:rPr>
                <w:rFonts w:ascii="Times New Roman" w:hAnsi="Times New Roman"/>
                <w:sz w:val="22"/>
                <w:szCs w:val="22"/>
                <w:lang w:val="bg-BG"/>
              </w:rPr>
              <w:tab/>
              <w:t xml:space="preserve">Валута. </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spacing w:before="60" w:after="60"/>
              <w:rPr>
                <w:sz w:val="22"/>
                <w:szCs w:val="22"/>
                <w:lang w:val="bg-BG" w:eastAsia="ru-RU"/>
              </w:rPr>
            </w:pPr>
            <w:r w:rsidRPr="00B77C69">
              <w:rPr>
                <w:sz w:val="22"/>
                <w:szCs w:val="22"/>
                <w:lang w:val="bg-BG" w:eastAsia="ru-RU"/>
              </w:rPr>
              <w:t>Лева</w:t>
            </w:r>
          </w:p>
        </w:tc>
      </w:tr>
      <w:tr w:rsidR="00201E47" w:rsidRPr="00281E89" w:rsidTr="00B77C69">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1"/>
                <w:numId w:val="3"/>
              </w:numPr>
              <w:tabs>
                <w:tab w:val="left" w:pos="460"/>
              </w:tabs>
              <w:spacing w:before="60" w:after="60"/>
              <w:contextualSpacing w:val="0"/>
              <w:rPr>
                <w:rFonts w:ascii="Times New Roman" w:hAnsi="Times New Roman"/>
                <w:sz w:val="22"/>
                <w:szCs w:val="22"/>
                <w:lang w:val="bg-BG"/>
              </w:rPr>
            </w:pPr>
            <w:r w:rsidRPr="00B77C69">
              <w:rPr>
                <w:rFonts w:ascii="Times New Roman" w:hAnsi="Times New Roman"/>
                <w:sz w:val="22"/>
                <w:szCs w:val="22"/>
                <w:lang w:val="bg-BG"/>
              </w:rPr>
              <w:tab/>
              <w:t>Валидност на офертата.</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right" w:pos="7254"/>
              </w:tabs>
              <w:spacing w:before="60" w:after="60"/>
              <w:rPr>
                <w:sz w:val="22"/>
                <w:szCs w:val="22"/>
                <w:lang w:val="bg-BG"/>
              </w:rPr>
            </w:pPr>
            <w:r w:rsidRPr="00B77C69">
              <w:rPr>
                <w:sz w:val="22"/>
                <w:szCs w:val="22"/>
                <w:lang w:val="bg-BG"/>
              </w:rPr>
              <w:t xml:space="preserve">Срокът на валидност на офертите е минимум  </w:t>
            </w:r>
            <w:r w:rsidRPr="00B77C69">
              <w:rPr>
                <w:sz w:val="22"/>
                <w:szCs w:val="22"/>
                <w:lang w:val="bg-BG" w:eastAsia="ru-RU"/>
              </w:rPr>
              <w:t xml:space="preserve">не по-малко от 90 (деветдесет) </w:t>
            </w:r>
            <w:r w:rsidRPr="00B77C69">
              <w:rPr>
                <w:sz w:val="22"/>
                <w:szCs w:val="22"/>
                <w:lang w:val="bg-BG"/>
              </w:rPr>
              <w:t>календарни дни, считано от крайния срок за получаване на офертите.</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right" w:pos="7434"/>
              </w:tabs>
              <w:spacing w:before="60" w:after="60"/>
              <w:rPr>
                <w:b/>
                <w:sz w:val="22"/>
                <w:szCs w:val="22"/>
                <w:lang w:val="bg-BG"/>
              </w:rPr>
            </w:pPr>
            <w:r w:rsidRPr="00B77C69">
              <w:rPr>
                <w:b/>
                <w:sz w:val="22"/>
                <w:szCs w:val="22"/>
                <w:lang w:val="bg-BG"/>
              </w:rPr>
              <w:t>VI.  Приемане и отваряне на тендерните предложения</w:t>
            </w:r>
          </w:p>
        </w:tc>
      </w:tr>
      <w:tr w:rsidR="00201E47" w:rsidRPr="00281E89" w:rsidTr="00B77C69">
        <w:tblPrEx>
          <w:tblBorders>
            <w:insideH w:val="single" w:sz="8" w:space="0" w:color="000000"/>
          </w:tblBorders>
        </w:tblPrEx>
        <w:trPr>
          <w:trHeight w:val="545"/>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tabs>
                <w:tab w:val="left" w:pos="431"/>
              </w:tabs>
              <w:spacing w:before="60" w:after="60"/>
              <w:ind w:left="0"/>
              <w:contextualSpacing w:val="0"/>
              <w:rPr>
                <w:rFonts w:ascii="Times New Roman" w:hAnsi="Times New Roman"/>
                <w:sz w:val="22"/>
                <w:szCs w:val="22"/>
                <w:lang w:val="bg-BG"/>
              </w:rPr>
            </w:pPr>
            <w:r w:rsidRPr="00B77C69">
              <w:rPr>
                <w:rFonts w:ascii="Times New Roman" w:hAnsi="Times New Roman"/>
                <w:sz w:val="22"/>
                <w:szCs w:val="22"/>
                <w:lang w:val="bg-BG"/>
              </w:rPr>
              <w:t>6.1.</w:t>
            </w:r>
            <w:r w:rsidRPr="00B77C69">
              <w:rPr>
                <w:rFonts w:ascii="Times New Roman" w:hAnsi="Times New Roman"/>
                <w:sz w:val="22"/>
                <w:szCs w:val="22"/>
                <w:lang w:val="bg-BG"/>
              </w:rPr>
              <w:tab/>
              <w:t>Подаване на оферти</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i"/>
              <w:tabs>
                <w:tab w:val="right" w:pos="7254"/>
              </w:tabs>
              <w:spacing w:before="60" w:after="60"/>
              <w:rPr>
                <w:rFonts w:ascii="Times New Roman" w:hAnsi="Times New Roman"/>
                <w:sz w:val="22"/>
                <w:szCs w:val="22"/>
                <w:lang w:val="bg-BG"/>
              </w:rPr>
            </w:pPr>
            <w:r w:rsidRPr="00B77C69">
              <w:rPr>
                <w:rFonts w:ascii="Times New Roman" w:hAnsi="Times New Roman"/>
                <w:sz w:val="22"/>
                <w:szCs w:val="22"/>
                <w:lang w:val="bg-BG"/>
              </w:rPr>
              <w:t>Офертите се подават и приемат само чрез АСПТ</w:t>
            </w:r>
          </w:p>
        </w:tc>
      </w:tr>
      <w:tr w:rsidR="00201E47" w:rsidRPr="00B77C69" w:rsidTr="00B77C69">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tabs>
                <w:tab w:val="left" w:pos="460"/>
              </w:tabs>
              <w:spacing w:before="60" w:after="60"/>
              <w:ind w:left="0"/>
              <w:contextualSpacing w:val="0"/>
              <w:rPr>
                <w:rFonts w:ascii="Times New Roman" w:hAnsi="Times New Roman"/>
                <w:sz w:val="22"/>
                <w:szCs w:val="22"/>
                <w:lang w:val="bg-BG"/>
              </w:rPr>
            </w:pPr>
            <w:r w:rsidRPr="00B77C69">
              <w:rPr>
                <w:rFonts w:ascii="Times New Roman" w:hAnsi="Times New Roman"/>
                <w:sz w:val="22"/>
                <w:szCs w:val="22"/>
                <w:lang w:val="bg-BG"/>
              </w:rPr>
              <w:t>6.2.</w:t>
            </w:r>
            <w:r w:rsidRPr="00B77C69">
              <w:rPr>
                <w:rFonts w:ascii="Times New Roman" w:hAnsi="Times New Roman"/>
                <w:sz w:val="22"/>
                <w:szCs w:val="22"/>
                <w:lang w:val="bg-BG"/>
              </w:rPr>
              <w:tab/>
              <w:t>Участие на Претенденти в отварянето търговската част на офертите</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i"/>
              <w:tabs>
                <w:tab w:val="right" w:pos="7254"/>
              </w:tabs>
              <w:spacing w:before="60" w:after="60"/>
              <w:rPr>
                <w:rFonts w:ascii="Times New Roman" w:hAnsi="Times New Roman"/>
                <w:sz w:val="22"/>
                <w:szCs w:val="22"/>
                <w:lang w:val="bg-BG"/>
              </w:rPr>
            </w:pPr>
            <w:r w:rsidRPr="00B77C69">
              <w:rPr>
                <w:rFonts w:ascii="Times New Roman" w:hAnsi="Times New Roman"/>
                <w:sz w:val="22"/>
                <w:szCs w:val="22"/>
                <w:lang w:val="bg-BG"/>
              </w:rPr>
              <w:t>ДА</w:t>
            </w:r>
          </w:p>
        </w:tc>
      </w:tr>
      <w:tr w:rsidR="00201E47" w:rsidRPr="00B77C6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keepNext/>
              <w:keepLines/>
              <w:tabs>
                <w:tab w:val="right" w:pos="7434"/>
              </w:tabs>
              <w:spacing w:before="60" w:after="40"/>
              <w:rPr>
                <w:b/>
                <w:sz w:val="22"/>
                <w:szCs w:val="22"/>
                <w:lang w:val="bg-BG"/>
              </w:rPr>
            </w:pPr>
            <w:r w:rsidRPr="00B77C69">
              <w:rPr>
                <w:b/>
                <w:sz w:val="22"/>
                <w:szCs w:val="22"/>
                <w:lang w:val="bg-BG"/>
              </w:rPr>
              <w:t>VII.  Структура на офертата</w:t>
            </w:r>
          </w:p>
        </w:tc>
      </w:tr>
      <w:tr w:rsidR="00201E47" w:rsidRPr="00B77C6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0"/>
              </w:tabs>
              <w:autoSpaceDE w:val="0"/>
              <w:autoSpaceDN w:val="0"/>
              <w:adjustRightInd w:val="0"/>
              <w:spacing w:before="60"/>
              <w:ind w:right="127"/>
              <w:rPr>
                <w:b/>
                <w:sz w:val="22"/>
                <w:szCs w:val="22"/>
                <w:lang w:val="bg-BG"/>
              </w:rPr>
            </w:pPr>
            <w:r w:rsidRPr="00B77C69">
              <w:rPr>
                <w:b/>
                <w:sz w:val="22"/>
                <w:szCs w:val="22"/>
                <w:lang w:val="bg-BG"/>
              </w:rPr>
              <w:t>Плик А (Техническа част):</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Списък на документите в Плик А; Форма 9, съгласно изискванията на АСПТ</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Квалификационни изисквания; Форма 1, съгласно изискванията на АСПТ   </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proofErr w:type="spellStart"/>
            <w:r w:rsidRPr="00B77C69">
              <w:rPr>
                <w:rFonts w:ascii="Times New Roman" w:hAnsi="Times New Roman"/>
                <w:sz w:val="22"/>
                <w:szCs w:val="22"/>
                <w:lang w:val="bg-BG"/>
              </w:rPr>
              <w:lastRenderedPageBreak/>
              <w:t>Тендерно</w:t>
            </w:r>
            <w:proofErr w:type="spellEnd"/>
            <w:r w:rsidRPr="00B77C69">
              <w:rPr>
                <w:rFonts w:ascii="Times New Roman" w:hAnsi="Times New Roman"/>
                <w:sz w:val="22"/>
                <w:szCs w:val="22"/>
                <w:lang w:val="bg-BG"/>
              </w:rPr>
              <w:t xml:space="preserve"> предложение (съпроводително писмо към тендерното предложение); Форма 2, съгласно изискванията на АСПТ</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Техническо предложение; Форма 3, съгласно изискванията на АСПТ</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График на доставките / за извършване на работите / за предоставяне на услугите; Форма 5, съгласно изискванията на АСПТ</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Гаранция от главния офис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Въпросник към бизнес партньор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p>
        </w:tc>
      </w:tr>
      <w:tr w:rsidR="00201E47" w:rsidRPr="00281E89" w:rsidTr="00B77C69">
        <w:tblPrEx>
          <w:tblBorders>
            <w:insideH w:val="single" w:sz="8" w:space="0" w:color="000000"/>
          </w:tblBorders>
        </w:tblPrEx>
        <w:trPr>
          <w:trHeight w:val="554"/>
        </w:trPr>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Документи, потвърждаващи взаимоотношенията между претендента и неговите подизпълнители (официални документи за взаимоотношенията с подизпълнител/и за конкретния тендер), ангажирани с извършването на работите/</w:t>
            </w:r>
            <w:r w:rsidRPr="00B77C69">
              <w:rPr>
                <w:rFonts w:ascii="Times New Roman" w:hAnsi="Times New Roman"/>
                <w:sz w:val="22"/>
                <w:szCs w:val="22"/>
              </w:rPr>
              <w:t xml:space="preserve"> </w:t>
            </w:r>
            <w:r w:rsidRPr="00B77C69">
              <w:rPr>
                <w:rFonts w:ascii="Times New Roman" w:hAnsi="Times New Roman"/>
                <w:sz w:val="22"/>
                <w:szCs w:val="22"/>
                <w:lang w:val="en-US"/>
              </w:rPr>
              <w:t>m</w:t>
            </w:r>
            <w:r w:rsidRPr="00B77C69">
              <w:rPr>
                <w:rFonts w:ascii="Times New Roman" w:hAnsi="Times New Roman"/>
                <w:sz w:val="22"/>
                <w:szCs w:val="22"/>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 Форма 1, съгласно изискванията на АСПТ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 Форма 1, съгласно изискванията на АСПТ   </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Копие от удостоверението за регистрация на претендента като юридическо лице и/или копие от споразумението за консорциум, ако претендента е такъв; Форма 1, съгласно изискванията на АСПТ   </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81E89">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Форма 1</w:t>
            </w:r>
            <w:r w:rsidR="00281E89">
              <w:rPr>
                <w:rFonts w:ascii="Times New Roman" w:hAnsi="Times New Roman"/>
                <w:sz w:val="22"/>
                <w:szCs w:val="22"/>
                <w:lang w:val="bg-BG"/>
              </w:rPr>
              <w:t>, съгласно изискванията на АСПТ.</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Удостоверение от Агенцията по вписванията, че претендента не е обявен в несъстоятелност и че не е започнало производство по несъстоятелност срещу него; Форма 1, съгласно изискванията на АСПТ  </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Удостоверение от Агенцията по вписванията, че претендента не е обявен в ликвидация и че не е започнало производство по ликвидация срещу него; Форма 1, съгласно изискванията на АСПТ   </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r w:rsidR="000D7103">
              <w:rPr>
                <w:rFonts w:ascii="Times New Roman" w:hAnsi="Times New Roman"/>
                <w:sz w:val="22"/>
                <w:szCs w:val="22"/>
                <w:lang w:val="bg-BG"/>
              </w:rPr>
              <w:t>.</w:t>
            </w:r>
            <w:bookmarkStart w:id="1" w:name="_GoBack"/>
            <w:bookmarkEnd w:id="1"/>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201E47" w:rsidRPr="00B77C69" w:rsidRDefault="00201E47" w:rsidP="00201E47">
            <w:pPr>
              <w:autoSpaceDE w:val="0"/>
              <w:autoSpaceDN w:val="0"/>
              <w:adjustRightInd w:val="0"/>
              <w:spacing w:before="60"/>
              <w:ind w:firstLine="34"/>
              <w:rPr>
                <w:sz w:val="22"/>
                <w:szCs w:val="22"/>
                <w:lang w:val="bg-BG"/>
              </w:rPr>
            </w:pPr>
            <w:r w:rsidRPr="00B77C69">
              <w:rPr>
                <w:sz w:val="22"/>
                <w:szCs w:val="22"/>
                <w:lang w:val="bg-BG"/>
              </w:rPr>
              <w:t>Забележка: 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201E47" w:rsidRPr="00B77C6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0"/>
              </w:tabs>
              <w:autoSpaceDE w:val="0"/>
              <w:autoSpaceDN w:val="0"/>
              <w:adjustRightInd w:val="0"/>
              <w:spacing w:before="60"/>
              <w:ind w:left="459" w:right="127" w:hanging="442"/>
              <w:rPr>
                <w:b/>
                <w:sz w:val="22"/>
                <w:szCs w:val="22"/>
                <w:lang w:val="bg-BG"/>
              </w:rPr>
            </w:pPr>
            <w:r w:rsidRPr="00B77C69">
              <w:rPr>
                <w:b/>
                <w:sz w:val="22"/>
                <w:szCs w:val="22"/>
                <w:lang w:val="bg-BG"/>
              </w:rPr>
              <w:t xml:space="preserve">Плик Б (Търговска част) </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2"/>
              </w:numPr>
              <w:autoSpaceDE w:val="0"/>
              <w:autoSpaceDN w:val="0"/>
              <w:adjustRightInd w:val="0"/>
              <w:spacing w:before="60"/>
              <w:ind w:right="249"/>
              <w:contextualSpacing w:val="0"/>
              <w:jc w:val="both"/>
              <w:rPr>
                <w:rFonts w:ascii="Times New Roman" w:hAnsi="Times New Roman"/>
                <w:sz w:val="22"/>
                <w:szCs w:val="22"/>
                <w:lang w:val="bg-BG"/>
              </w:rPr>
            </w:pPr>
            <w:r w:rsidRPr="00B77C69">
              <w:rPr>
                <w:rFonts w:ascii="Times New Roman" w:hAnsi="Times New Roman"/>
                <w:sz w:val="22"/>
                <w:szCs w:val="22"/>
                <w:lang w:val="bg-BG"/>
              </w:rPr>
              <w:t>Списък на документите в Плик Б; Форма 9, съгласно изискванията на АСПТ</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2"/>
              </w:numPr>
              <w:autoSpaceDE w:val="0"/>
              <w:autoSpaceDN w:val="0"/>
              <w:adjustRightInd w:val="0"/>
              <w:spacing w:before="60"/>
              <w:ind w:right="249"/>
              <w:contextualSpacing w:val="0"/>
              <w:jc w:val="both"/>
              <w:rPr>
                <w:rFonts w:ascii="Times New Roman" w:hAnsi="Times New Roman"/>
                <w:sz w:val="22"/>
                <w:szCs w:val="22"/>
                <w:lang w:val="bg-BG"/>
              </w:rPr>
            </w:pPr>
            <w:r w:rsidRPr="00B77C69">
              <w:rPr>
                <w:rFonts w:ascii="Times New Roman" w:hAnsi="Times New Roman"/>
                <w:sz w:val="22"/>
                <w:szCs w:val="22"/>
                <w:lang w:val="bg-BG"/>
              </w:rPr>
              <w:t>Титулен лист; Форма 6, съгласно изискванията на АСПТ</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2"/>
              </w:numPr>
              <w:autoSpaceDE w:val="0"/>
              <w:autoSpaceDN w:val="0"/>
              <w:adjustRightInd w:val="0"/>
              <w:spacing w:before="60"/>
              <w:ind w:right="252"/>
              <w:contextualSpacing w:val="0"/>
              <w:jc w:val="both"/>
              <w:rPr>
                <w:rFonts w:ascii="Times New Roman" w:hAnsi="Times New Roman"/>
                <w:sz w:val="22"/>
                <w:szCs w:val="22"/>
                <w:lang w:val="bg-BG"/>
              </w:rPr>
            </w:pPr>
            <w:r w:rsidRPr="00B77C69">
              <w:rPr>
                <w:rFonts w:ascii="Times New Roman" w:hAnsi="Times New Roman"/>
                <w:sz w:val="22"/>
                <w:szCs w:val="22"/>
                <w:lang w:val="bg-BG"/>
              </w:rPr>
              <w:t>Търговско (ценово) предложение; Форма 7,  съгласно изискванията на АСПТ</w:t>
            </w:r>
          </w:p>
        </w:tc>
      </w:tr>
      <w:tr w:rsidR="00201E47" w:rsidRPr="00281E8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2"/>
              </w:numPr>
              <w:autoSpaceDE w:val="0"/>
              <w:autoSpaceDN w:val="0"/>
              <w:adjustRightInd w:val="0"/>
              <w:spacing w:before="60"/>
              <w:ind w:right="252"/>
              <w:contextualSpacing w:val="0"/>
              <w:jc w:val="both"/>
              <w:rPr>
                <w:rFonts w:ascii="Times New Roman" w:hAnsi="Times New Roman"/>
                <w:sz w:val="22"/>
                <w:szCs w:val="22"/>
                <w:lang w:val="bg-BG"/>
              </w:rPr>
            </w:pPr>
            <w:r w:rsidRPr="00B77C69">
              <w:rPr>
                <w:rFonts w:ascii="Times New Roman" w:hAnsi="Times New Roman"/>
                <w:sz w:val="22"/>
                <w:szCs w:val="22"/>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Плик Б) -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p>
        </w:tc>
      </w:tr>
    </w:tbl>
    <w:p w:rsidR="0075046B" w:rsidRPr="00B77C69" w:rsidRDefault="0075046B" w:rsidP="003D53BE">
      <w:pPr>
        <w:spacing w:before="120"/>
        <w:rPr>
          <w:sz w:val="22"/>
          <w:szCs w:val="22"/>
          <w:lang w:val="bg-BG"/>
        </w:rPr>
      </w:pPr>
    </w:p>
    <w:p w:rsidR="003D53BE" w:rsidRPr="00B77C69" w:rsidRDefault="007B3A81" w:rsidP="003D53BE">
      <w:pPr>
        <w:spacing w:before="120"/>
        <w:rPr>
          <w:sz w:val="22"/>
          <w:szCs w:val="22"/>
          <w:lang w:val="bg-BG"/>
        </w:rPr>
      </w:pPr>
      <w:r w:rsidRPr="00B77C69">
        <w:rPr>
          <w:sz w:val="22"/>
          <w:szCs w:val="22"/>
          <w:lang w:val="bg-BG"/>
        </w:rPr>
        <w:t>* АСПТ – Автоматизирана</w:t>
      </w:r>
      <w:r w:rsidR="003D53BE" w:rsidRPr="00B77C69">
        <w:rPr>
          <w:sz w:val="22"/>
          <w:szCs w:val="22"/>
          <w:lang w:val="bg-BG"/>
        </w:rPr>
        <w:t xml:space="preserve"> система за провеждане на тендери</w:t>
      </w:r>
    </w:p>
    <w:sectPr w:rsidR="003D53BE" w:rsidRPr="00B77C69" w:rsidSect="00561BC3">
      <w:footerReference w:type="default" r:id="rId9"/>
      <w:pgSz w:w="11907" w:h="16839" w:code="9"/>
      <w:pgMar w:top="567"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5D" w:rsidRDefault="00E24C5D" w:rsidP="00CF5625">
      <w:r>
        <w:separator/>
      </w:r>
    </w:p>
  </w:endnote>
  <w:endnote w:type="continuationSeparator" w:id="0">
    <w:p w:rsidR="00E24C5D" w:rsidRDefault="00E24C5D"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E24C5D" w:rsidRPr="006456FF" w:rsidRDefault="00E24C5D" w:rsidP="006456FF">
        <w:pPr>
          <w:pStyle w:val="ad"/>
          <w:jc w:val="right"/>
          <w:rPr>
            <w:lang w:val="ru-RU"/>
          </w:rPr>
        </w:pPr>
        <w:r>
          <w:fldChar w:fldCharType="begin"/>
        </w:r>
        <w:r>
          <w:instrText xml:space="preserve"> PAGE   \* MERGEFORMAT </w:instrText>
        </w:r>
        <w:r>
          <w:fldChar w:fldCharType="separate"/>
        </w:r>
        <w:r w:rsidR="000D710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5D" w:rsidRDefault="00E24C5D" w:rsidP="00CF5625">
      <w:r>
        <w:separator/>
      </w:r>
    </w:p>
  </w:footnote>
  <w:footnote w:type="continuationSeparator" w:id="0">
    <w:p w:rsidR="00E24C5D" w:rsidRDefault="00E24C5D"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57"/>
    <w:multiLevelType w:val="multilevel"/>
    <w:tmpl w:val="FBB02D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B72"/>
    <w:multiLevelType w:val="hybridMultilevel"/>
    <w:tmpl w:val="0E2ADCF2"/>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900D47"/>
    <w:multiLevelType w:val="hybridMultilevel"/>
    <w:tmpl w:val="C84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460CC"/>
    <w:multiLevelType w:val="multilevel"/>
    <w:tmpl w:val="837CB440"/>
    <w:lvl w:ilvl="0">
      <w:start w:val="3"/>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0" w15:restartNumberingAfterBreak="0">
    <w:nsid w:val="1C1C255E"/>
    <w:multiLevelType w:val="hybridMultilevel"/>
    <w:tmpl w:val="73A4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46803"/>
    <w:multiLevelType w:val="multilevel"/>
    <w:tmpl w:val="FBB02D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F59F3"/>
    <w:multiLevelType w:val="hybridMultilevel"/>
    <w:tmpl w:val="EA5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92432"/>
    <w:multiLevelType w:val="multilevel"/>
    <w:tmpl w:val="9E8ABB4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6"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E01447"/>
    <w:multiLevelType w:val="multilevel"/>
    <w:tmpl w:val="1AC8E4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950DD"/>
    <w:multiLevelType w:val="multilevel"/>
    <w:tmpl w:val="E33E712A"/>
    <w:lvl w:ilvl="0">
      <w:start w:val="2"/>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518763DE"/>
    <w:multiLevelType w:val="hybridMultilevel"/>
    <w:tmpl w:val="F948F1E2"/>
    <w:lvl w:ilvl="0" w:tplc="1C60E2EA">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61FFE"/>
    <w:multiLevelType w:val="hybridMultilevel"/>
    <w:tmpl w:val="9A3A1528"/>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43584"/>
    <w:multiLevelType w:val="multilevel"/>
    <w:tmpl w:val="6D280AB6"/>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23" w15:restartNumberingAfterBreak="0">
    <w:nsid w:val="64AF690E"/>
    <w:multiLevelType w:val="hybridMultilevel"/>
    <w:tmpl w:val="E08AC8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34BC6"/>
    <w:multiLevelType w:val="hybridMultilevel"/>
    <w:tmpl w:val="B5C6FA88"/>
    <w:lvl w:ilvl="0" w:tplc="0402000F">
      <w:start w:val="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8AD77D6"/>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A6AA9"/>
    <w:multiLevelType w:val="hybridMultilevel"/>
    <w:tmpl w:val="5DD641E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AE456DA"/>
    <w:multiLevelType w:val="multilevel"/>
    <w:tmpl w:val="411094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FA61A7"/>
    <w:multiLevelType w:val="multilevel"/>
    <w:tmpl w:val="AA8C3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5"/>
  </w:num>
  <w:num w:numId="3">
    <w:abstractNumId w:val="2"/>
  </w:num>
  <w:num w:numId="4">
    <w:abstractNumId w:val="1"/>
  </w:num>
  <w:num w:numId="5">
    <w:abstractNumId w:val="30"/>
  </w:num>
  <w:num w:numId="6">
    <w:abstractNumId w:val="12"/>
  </w:num>
  <w:num w:numId="7">
    <w:abstractNumId w:val="16"/>
  </w:num>
  <w:num w:numId="8">
    <w:abstractNumId w:val="5"/>
  </w:num>
  <w:num w:numId="9">
    <w:abstractNumId w:val="26"/>
  </w:num>
  <w:num w:numId="10">
    <w:abstractNumId w:val="19"/>
  </w:num>
  <w:num w:numId="11">
    <w:abstractNumId w:val="8"/>
  </w:num>
  <w:num w:numId="12">
    <w:abstractNumId w:val="27"/>
  </w:num>
  <w:num w:numId="13">
    <w:abstractNumId w:val="4"/>
  </w:num>
  <w:num w:numId="14">
    <w:abstractNumId w:val="9"/>
  </w:num>
  <w:num w:numId="15">
    <w:abstractNumId w:val="29"/>
  </w:num>
  <w:num w:numId="16">
    <w:abstractNumId w:val="22"/>
  </w:num>
  <w:num w:numId="17">
    <w:abstractNumId w:val="25"/>
  </w:num>
  <w:num w:numId="18">
    <w:abstractNumId w:val="13"/>
  </w:num>
  <w:num w:numId="19">
    <w:abstractNumId w:val="23"/>
  </w:num>
  <w:num w:numId="20">
    <w:abstractNumId w:val="21"/>
  </w:num>
  <w:num w:numId="21">
    <w:abstractNumId w:val="10"/>
  </w:num>
  <w:num w:numId="22">
    <w:abstractNumId w:val="7"/>
  </w:num>
  <w:num w:numId="23">
    <w:abstractNumId w:val="20"/>
  </w:num>
  <w:num w:numId="24">
    <w:abstractNumId w:val="28"/>
  </w:num>
  <w:num w:numId="25">
    <w:abstractNumId w:val="24"/>
  </w:num>
  <w:num w:numId="26">
    <w:abstractNumId w:val="6"/>
  </w:num>
  <w:num w:numId="27">
    <w:abstractNumId w:val="17"/>
  </w:num>
  <w:num w:numId="28">
    <w:abstractNumId w:val="18"/>
  </w:num>
  <w:num w:numId="29">
    <w:abstractNumId w:val="0"/>
  </w:num>
  <w:num w:numId="30">
    <w:abstractNumId w:val="11"/>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108CA"/>
    <w:rsid w:val="00010B52"/>
    <w:rsid w:val="00020658"/>
    <w:rsid w:val="00020BDD"/>
    <w:rsid w:val="00021C7A"/>
    <w:rsid w:val="000241D1"/>
    <w:rsid w:val="000259B9"/>
    <w:rsid w:val="00033044"/>
    <w:rsid w:val="00034803"/>
    <w:rsid w:val="00034B7D"/>
    <w:rsid w:val="00035BF8"/>
    <w:rsid w:val="000401A6"/>
    <w:rsid w:val="00067826"/>
    <w:rsid w:val="000745C4"/>
    <w:rsid w:val="00086792"/>
    <w:rsid w:val="00092A68"/>
    <w:rsid w:val="00095D9B"/>
    <w:rsid w:val="000A37E1"/>
    <w:rsid w:val="000A4073"/>
    <w:rsid w:val="000A6C44"/>
    <w:rsid w:val="000B6DE7"/>
    <w:rsid w:val="000D0498"/>
    <w:rsid w:val="000D692C"/>
    <w:rsid w:val="000D7103"/>
    <w:rsid w:val="000E1999"/>
    <w:rsid w:val="000E664A"/>
    <w:rsid w:val="00105767"/>
    <w:rsid w:val="00110EA0"/>
    <w:rsid w:val="00111203"/>
    <w:rsid w:val="00111AEF"/>
    <w:rsid w:val="001241D6"/>
    <w:rsid w:val="00130AEA"/>
    <w:rsid w:val="00133F5B"/>
    <w:rsid w:val="001347B1"/>
    <w:rsid w:val="001406A1"/>
    <w:rsid w:val="00143763"/>
    <w:rsid w:val="00144D5A"/>
    <w:rsid w:val="0016015E"/>
    <w:rsid w:val="00175DB1"/>
    <w:rsid w:val="0018009F"/>
    <w:rsid w:val="0018079E"/>
    <w:rsid w:val="00180DC0"/>
    <w:rsid w:val="00184195"/>
    <w:rsid w:val="001866E2"/>
    <w:rsid w:val="00192148"/>
    <w:rsid w:val="001964F6"/>
    <w:rsid w:val="001A36E9"/>
    <w:rsid w:val="001B45A1"/>
    <w:rsid w:val="001B5051"/>
    <w:rsid w:val="001C2F9C"/>
    <w:rsid w:val="001D0C52"/>
    <w:rsid w:val="001D2EB6"/>
    <w:rsid w:val="001E0561"/>
    <w:rsid w:val="001E479E"/>
    <w:rsid w:val="001F270C"/>
    <w:rsid w:val="001F4C68"/>
    <w:rsid w:val="001F6F83"/>
    <w:rsid w:val="00201E47"/>
    <w:rsid w:val="00211D3B"/>
    <w:rsid w:val="00212F12"/>
    <w:rsid w:val="002148AE"/>
    <w:rsid w:val="00231589"/>
    <w:rsid w:val="002326A3"/>
    <w:rsid w:val="00235C80"/>
    <w:rsid w:val="0024039A"/>
    <w:rsid w:val="00242851"/>
    <w:rsid w:val="002434FE"/>
    <w:rsid w:val="002511C6"/>
    <w:rsid w:val="0025221C"/>
    <w:rsid w:val="002527DF"/>
    <w:rsid w:val="0025633F"/>
    <w:rsid w:val="00256F5C"/>
    <w:rsid w:val="0026162F"/>
    <w:rsid w:val="00266194"/>
    <w:rsid w:val="002712F9"/>
    <w:rsid w:val="00280D68"/>
    <w:rsid w:val="00281E89"/>
    <w:rsid w:val="00284E70"/>
    <w:rsid w:val="00290538"/>
    <w:rsid w:val="00296620"/>
    <w:rsid w:val="002B42E0"/>
    <w:rsid w:val="002B5BBF"/>
    <w:rsid w:val="002D105B"/>
    <w:rsid w:val="002D19A1"/>
    <w:rsid w:val="002D7E7E"/>
    <w:rsid w:val="002E15DD"/>
    <w:rsid w:val="002E6307"/>
    <w:rsid w:val="002F0B44"/>
    <w:rsid w:val="002F1774"/>
    <w:rsid w:val="002F1B2F"/>
    <w:rsid w:val="002F3843"/>
    <w:rsid w:val="002F5C28"/>
    <w:rsid w:val="002F5F70"/>
    <w:rsid w:val="002F666F"/>
    <w:rsid w:val="002F6B13"/>
    <w:rsid w:val="00305A25"/>
    <w:rsid w:val="00307E84"/>
    <w:rsid w:val="003129AC"/>
    <w:rsid w:val="00313C14"/>
    <w:rsid w:val="00332B90"/>
    <w:rsid w:val="00333319"/>
    <w:rsid w:val="0033772C"/>
    <w:rsid w:val="0034558B"/>
    <w:rsid w:val="00353FF1"/>
    <w:rsid w:val="0036253A"/>
    <w:rsid w:val="0036368A"/>
    <w:rsid w:val="0036548C"/>
    <w:rsid w:val="00365700"/>
    <w:rsid w:val="00366FEE"/>
    <w:rsid w:val="003725C2"/>
    <w:rsid w:val="00372FF2"/>
    <w:rsid w:val="00376E6A"/>
    <w:rsid w:val="00382A34"/>
    <w:rsid w:val="003847A3"/>
    <w:rsid w:val="00385CAB"/>
    <w:rsid w:val="00391389"/>
    <w:rsid w:val="003932E4"/>
    <w:rsid w:val="003939DF"/>
    <w:rsid w:val="003942DC"/>
    <w:rsid w:val="00397075"/>
    <w:rsid w:val="003A6AEA"/>
    <w:rsid w:val="003B085A"/>
    <w:rsid w:val="003B3808"/>
    <w:rsid w:val="003C0F04"/>
    <w:rsid w:val="003D2782"/>
    <w:rsid w:val="003D53BE"/>
    <w:rsid w:val="003D7288"/>
    <w:rsid w:val="003E01EC"/>
    <w:rsid w:val="003E1FB4"/>
    <w:rsid w:val="003E4487"/>
    <w:rsid w:val="003F0D93"/>
    <w:rsid w:val="003F151D"/>
    <w:rsid w:val="003F185E"/>
    <w:rsid w:val="003F1ACA"/>
    <w:rsid w:val="003F479A"/>
    <w:rsid w:val="003F6275"/>
    <w:rsid w:val="00407834"/>
    <w:rsid w:val="00407EDC"/>
    <w:rsid w:val="00412392"/>
    <w:rsid w:val="00423664"/>
    <w:rsid w:val="004450A8"/>
    <w:rsid w:val="00454172"/>
    <w:rsid w:val="00470039"/>
    <w:rsid w:val="00473B5A"/>
    <w:rsid w:val="0047454F"/>
    <w:rsid w:val="004747CC"/>
    <w:rsid w:val="00476E81"/>
    <w:rsid w:val="0047727D"/>
    <w:rsid w:val="00480B74"/>
    <w:rsid w:val="0048547B"/>
    <w:rsid w:val="00485753"/>
    <w:rsid w:val="0049146E"/>
    <w:rsid w:val="00492852"/>
    <w:rsid w:val="004A0A26"/>
    <w:rsid w:val="004A125A"/>
    <w:rsid w:val="004A2152"/>
    <w:rsid w:val="004A3CC2"/>
    <w:rsid w:val="004A69CD"/>
    <w:rsid w:val="004A6B2A"/>
    <w:rsid w:val="004B5528"/>
    <w:rsid w:val="004C32ED"/>
    <w:rsid w:val="004C37E1"/>
    <w:rsid w:val="004C647B"/>
    <w:rsid w:val="004C7560"/>
    <w:rsid w:val="004D3FB6"/>
    <w:rsid w:val="004D682D"/>
    <w:rsid w:val="004E00F8"/>
    <w:rsid w:val="004E3C9A"/>
    <w:rsid w:val="004E3D7B"/>
    <w:rsid w:val="00514422"/>
    <w:rsid w:val="00517765"/>
    <w:rsid w:val="00520881"/>
    <w:rsid w:val="00521B0F"/>
    <w:rsid w:val="00521B24"/>
    <w:rsid w:val="005269B1"/>
    <w:rsid w:val="00530CA6"/>
    <w:rsid w:val="00532EB5"/>
    <w:rsid w:val="00534CF4"/>
    <w:rsid w:val="0053500B"/>
    <w:rsid w:val="005470A8"/>
    <w:rsid w:val="00552C00"/>
    <w:rsid w:val="005542B1"/>
    <w:rsid w:val="00561BC3"/>
    <w:rsid w:val="00574EDD"/>
    <w:rsid w:val="00581334"/>
    <w:rsid w:val="005839EF"/>
    <w:rsid w:val="00584CB7"/>
    <w:rsid w:val="00592A8F"/>
    <w:rsid w:val="00596C3E"/>
    <w:rsid w:val="005A334D"/>
    <w:rsid w:val="005A50EA"/>
    <w:rsid w:val="005B12C7"/>
    <w:rsid w:val="005B3DB1"/>
    <w:rsid w:val="005B4302"/>
    <w:rsid w:val="005B773D"/>
    <w:rsid w:val="005C62EB"/>
    <w:rsid w:val="005D15FD"/>
    <w:rsid w:val="005E0170"/>
    <w:rsid w:val="005E59D3"/>
    <w:rsid w:val="005F24AA"/>
    <w:rsid w:val="00600E57"/>
    <w:rsid w:val="006111EB"/>
    <w:rsid w:val="006206E8"/>
    <w:rsid w:val="006268C7"/>
    <w:rsid w:val="006317C1"/>
    <w:rsid w:val="00644011"/>
    <w:rsid w:val="006456FF"/>
    <w:rsid w:val="00657931"/>
    <w:rsid w:val="00660A81"/>
    <w:rsid w:val="006706D6"/>
    <w:rsid w:val="00673495"/>
    <w:rsid w:val="00676F9F"/>
    <w:rsid w:val="00682159"/>
    <w:rsid w:val="00683096"/>
    <w:rsid w:val="006863FD"/>
    <w:rsid w:val="00693212"/>
    <w:rsid w:val="006B5A56"/>
    <w:rsid w:val="006B6412"/>
    <w:rsid w:val="006C3FDC"/>
    <w:rsid w:val="006D1179"/>
    <w:rsid w:val="006D3F58"/>
    <w:rsid w:val="006E01DD"/>
    <w:rsid w:val="006E15F2"/>
    <w:rsid w:val="006E1C80"/>
    <w:rsid w:val="00701E48"/>
    <w:rsid w:val="00710A30"/>
    <w:rsid w:val="00710FBB"/>
    <w:rsid w:val="00717195"/>
    <w:rsid w:val="00717E3F"/>
    <w:rsid w:val="00720E0A"/>
    <w:rsid w:val="007402EA"/>
    <w:rsid w:val="00741D65"/>
    <w:rsid w:val="007423E3"/>
    <w:rsid w:val="00743B2F"/>
    <w:rsid w:val="0075046B"/>
    <w:rsid w:val="00753A3E"/>
    <w:rsid w:val="007555A0"/>
    <w:rsid w:val="00761F52"/>
    <w:rsid w:val="00765216"/>
    <w:rsid w:val="007920C0"/>
    <w:rsid w:val="00792259"/>
    <w:rsid w:val="007A0410"/>
    <w:rsid w:val="007A0682"/>
    <w:rsid w:val="007A2731"/>
    <w:rsid w:val="007A36E5"/>
    <w:rsid w:val="007B3A81"/>
    <w:rsid w:val="007B6709"/>
    <w:rsid w:val="007B6E0E"/>
    <w:rsid w:val="007B6FEA"/>
    <w:rsid w:val="007C30BC"/>
    <w:rsid w:val="007C50F1"/>
    <w:rsid w:val="007C57B5"/>
    <w:rsid w:val="007D3050"/>
    <w:rsid w:val="007D765E"/>
    <w:rsid w:val="007E0C0A"/>
    <w:rsid w:val="007E1303"/>
    <w:rsid w:val="007E2FA0"/>
    <w:rsid w:val="007E4BEF"/>
    <w:rsid w:val="00820466"/>
    <w:rsid w:val="0082046C"/>
    <w:rsid w:val="008205D8"/>
    <w:rsid w:val="00820F4F"/>
    <w:rsid w:val="008217CD"/>
    <w:rsid w:val="00825F10"/>
    <w:rsid w:val="00831D84"/>
    <w:rsid w:val="00835F05"/>
    <w:rsid w:val="008416DE"/>
    <w:rsid w:val="00843C74"/>
    <w:rsid w:val="00850999"/>
    <w:rsid w:val="00860E03"/>
    <w:rsid w:val="0086322C"/>
    <w:rsid w:val="00863DB1"/>
    <w:rsid w:val="00865004"/>
    <w:rsid w:val="00873248"/>
    <w:rsid w:val="008814F5"/>
    <w:rsid w:val="0088729F"/>
    <w:rsid w:val="008B5CC8"/>
    <w:rsid w:val="008B72E4"/>
    <w:rsid w:val="008C1BEC"/>
    <w:rsid w:val="008D0F04"/>
    <w:rsid w:val="008D1B1B"/>
    <w:rsid w:val="008E2D6B"/>
    <w:rsid w:val="008E43F7"/>
    <w:rsid w:val="009067B8"/>
    <w:rsid w:val="0091160A"/>
    <w:rsid w:val="00912310"/>
    <w:rsid w:val="009136E0"/>
    <w:rsid w:val="0091623F"/>
    <w:rsid w:val="009165E3"/>
    <w:rsid w:val="00926497"/>
    <w:rsid w:val="009422D3"/>
    <w:rsid w:val="00942F88"/>
    <w:rsid w:val="00943C85"/>
    <w:rsid w:val="00950F35"/>
    <w:rsid w:val="00962CF5"/>
    <w:rsid w:val="00963A47"/>
    <w:rsid w:val="00965E21"/>
    <w:rsid w:val="00977C3F"/>
    <w:rsid w:val="00986C09"/>
    <w:rsid w:val="009B1297"/>
    <w:rsid w:val="009B363A"/>
    <w:rsid w:val="009C324F"/>
    <w:rsid w:val="009E2ABB"/>
    <w:rsid w:val="00A0383A"/>
    <w:rsid w:val="00A05860"/>
    <w:rsid w:val="00A144C5"/>
    <w:rsid w:val="00A23CA7"/>
    <w:rsid w:val="00A27428"/>
    <w:rsid w:val="00A348A6"/>
    <w:rsid w:val="00A35462"/>
    <w:rsid w:val="00A46156"/>
    <w:rsid w:val="00A5729C"/>
    <w:rsid w:val="00A71953"/>
    <w:rsid w:val="00A803D3"/>
    <w:rsid w:val="00A80B12"/>
    <w:rsid w:val="00A81C87"/>
    <w:rsid w:val="00A8460B"/>
    <w:rsid w:val="00A92C44"/>
    <w:rsid w:val="00A9703F"/>
    <w:rsid w:val="00A97934"/>
    <w:rsid w:val="00AA5739"/>
    <w:rsid w:val="00AA579A"/>
    <w:rsid w:val="00AC26CE"/>
    <w:rsid w:val="00AC64A4"/>
    <w:rsid w:val="00AD1C91"/>
    <w:rsid w:val="00AD36AB"/>
    <w:rsid w:val="00AD475C"/>
    <w:rsid w:val="00AD6507"/>
    <w:rsid w:val="00AE1DF0"/>
    <w:rsid w:val="00AF20AB"/>
    <w:rsid w:val="00AF42BC"/>
    <w:rsid w:val="00B028E6"/>
    <w:rsid w:val="00B038A8"/>
    <w:rsid w:val="00B05F2E"/>
    <w:rsid w:val="00B109D8"/>
    <w:rsid w:val="00B14F3F"/>
    <w:rsid w:val="00B23B86"/>
    <w:rsid w:val="00B32825"/>
    <w:rsid w:val="00B34E88"/>
    <w:rsid w:val="00B37F65"/>
    <w:rsid w:val="00B56F2A"/>
    <w:rsid w:val="00B57C36"/>
    <w:rsid w:val="00B76929"/>
    <w:rsid w:val="00B7736A"/>
    <w:rsid w:val="00B77C69"/>
    <w:rsid w:val="00B84C3E"/>
    <w:rsid w:val="00BA0541"/>
    <w:rsid w:val="00BA2592"/>
    <w:rsid w:val="00BA3E10"/>
    <w:rsid w:val="00BC1C56"/>
    <w:rsid w:val="00BC25E9"/>
    <w:rsid w:val="00BC547B"/>
    <w:rsid w:val="00BC603C"/>
    <w:rsid w:val="00BC6249"/>
    <w:rsid w:val="00BD154C"/>
    <w:rsid w:val="00BE1F52"/>
    <w:rsid w:val="00BF0B8C"/>
    <w:rsid w:val="00BF3749"/>
    <w:rsid w:val="00BF6EBF"/>
    <w:rsid w:val="00C21A8B"/>
    <w:rsid w:val="00C24C1F"/>
    <w:rsid w:val="00C31B27"/>
    <w:rsid w:val="00C32373"/>
    <w:rsid w:val="00C33E36"/>
    <w:rsid w:val="00C35CEA"/>
    <w:rsid w:val="00C36136"/>
    <w:rsid w:val="00C434BB"/>
    <w:rsid w:val="00C4720F"/>
    <w:rsid w:val="00C475D8"/>
    <w:rsid w:val="00C520E7"/>
    <w:rsid w:val="00C67A61"/>
    <w:rsid w:val="00C714F5"/>
    <w:rsid w:val="00C72547"/>
    <w:rsid w:val="00C75F35"/>
    <w:rsid w:val="00C83AD7"/>
    <w:rsid w:val="00C85A54"/>
    <w:rsid w:val="00C959FB"/>
    <w:rsid w:val="00C95BCC"/>
    <w:rsid w:val="00C97566"/>
    <w:rsid w:val="00CA201F"/>
    <w:rsid w:val="00CA7926"/>
    <w:rsid w:val="00CB2461"/>
    <w:rsid w:val="00CB6A10"/>
    <w:rsid w:val="00CB6BD1"/>
    <w:rsid w:val="00CB73D5"/>
    <w:rsid w:val="00CC11DF"/>
    <w:rsid w:val="00CD22DC"/>
    <w:rsid w:val="00CD637E"/>
    <w:rsid w:val="00CE0ABD"/>
    <w:rsid w:val="00CE3B1C"/>
    <w:rsid w:val="00CF4670"/>
    <w:rsid w:val="00CF5625"/>
    <w:rsid w:val="00D0109F"/>
    <w:rsid w:val="00D202A2"/>
    <w:rsid w:val="00D2508D"/>
    <w:rsid w:val="00D26CE1"/>
    <w:rsid w:val="00D32386"/>
    <w:rsid w:val="00D3246D"/>
    <w:rsid w:val="00D359B9"/>
    <w:rsid w:val="00D427F3"/>
    <w:rsid w:val="00D4680C"/>
    <w:rsid w:val="00D47127"/>
    <w:rsid w:val="00D529C2"/>
    <w:rsid w:val="00D54C62"/>
    <w:rsid w:val="00D550D8"/>
    <w:rsid w:val="00D63391"/>
    <w:rsid w:val="00D67932"/>
    <w:rsid w:val="00D8369C"/>
    <w:rsid w:val="00D91BFA"/>
    <w:rsid w:val="00D96150"/>
    <w:rsid w:val="00D97809"/>
    <w:rsid w:val="00DA3E76"/>
    <w:rsid w:val="00DC2BFA"/>
    <w:rsid w:val="00DC5B46"/>
    <w:rsid w:val="00DD5C7F"/>
    <w:rsid w:val="00DD7127"/>
    <w:rsid w:val="00DE3A2B"/>
    <w:rsid w:val="00DE3CDC"/>
    <w:rsid w:val="00DF7C07"/>
    <w:rsid w:val="00E003C7"/>
    <w:rsid w:val="00E1047D"/>
    <w:rsid w:val="00E11469"/>
    <w:rsid w:val="00E13607"/>
    <w:rsid w:val="00E14748"/>
    <w:rsid w:val="00E21E8A"/>
    <w:rsid w:val="00E24C5D"/>
    <w:rsid w:val="00E24E26"/>
    <w:rsid w:val="00E26759"/>
    <w:rsid w:val="00E2796E"/>
    <w:rsid w:val="00E32574"/>
    <w:rsid w:val="00E4197E"/>
    <w:rsid w:val="00E43E9F"/>
    <w:rsid w:val="00E465C2"/>
    <w:rsid w:val="00E60220"/>
    <w:rsid w:val="00E70BD2"/>
    <w:rsid w:val="00E80B52"/>
    <w:rsid w:val="00E80C2E"/>
    <w:rsid w:val="00E9098E"/>
    <w:rsid w:val="00E91977"/>
    <w:rsid w:val="00E9583C"/>
    <w:rsid w:val="00EA4A2C"/>
    <w:rsid w:val="00EB3B9B"/>
    <w:rsid w:val="00EB6EDF"/>
    <w:rsid w:val="00EB7714"/>
    <w:rsid w:val="00ED0FA6"/>
    <w:rsid w:val="00ED3711"/>
    <w:rsid w:val="00ED4B15"/>
    <w:rsid w:val="00ED5A5C"/>
    <w:rsid w:val="00ED652D"/>
    <w:rsid w:val="00EE0D6B"/>
    <w:rsid w:val="00EE213E"/>
    <w:rsid w:val="00EE3E32"/>
    <w:rsid w:val="00EE5FD1"/>
    <w:rsid w:val="00F01186"/>
    <w:rsid w:val="00F0679E"/>
    <w:rsid w:val="00F110EC"/>
    <w:rsid w:val="00F13670"/>
    <w:rsid w:val="00F155C6"/>
    <w:rsid w:val="00F238BF"/>
    <w:rsid w:val="00F2592D"/>
    <w:rsid w:val="00F27F6E"/>
    <w:rsid w:val="00F314C5"/>
    <w:rsid w:val="00F3399A"/>
    <w:rsid w:val="00F33B50"/>
    <w:rsid w:val="00F36D62"/>
    <w:rsid w:val="00F550C5"/>
    <w:rsid w:val="00F5722E"/>
    <w:rsid w:val="00F57E0E"/>
    <w:rsid w:val="00F57F92"/>
    <w:rsid w:val="00F62360"/>
    <w:rsid w:val="00F66E66"/>
    <w:rsid w:val="00F73250"/>
    <w:rsid w:val="00F810E1"/>
    <w:rsid w:val="00F84B4B"/>
    <w:rsid w:val="00F84D33"/>
    <w:rsid w:val="00F9402C"/>
    <w:rsid w:val="00F9668A"/>
    <w:rsid w:val="00FA6764"/>
    <w:rsid w:val="00FB284D"/>
    <w:rsid w:val="00FB357F"/>
    <w:rsid w:val="00FB3B5B"/>
    <w:rsid w:val="00FB73F4"/>
    <w:rsid w:val="00FC693B"/>
    <w:rsid w:val="00FD1C6D"/>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386F"/>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6C07-C2D8-4931-9FE4-401F4BB1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1179</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Lukoil</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Иван Пенков Минчев</cp:lastModifiedBy>
  <cp:revision>78</cp:revision>
  <cp:lastPrinted>2017-08-03T12:15:00Z</cp:lastPrinted>
  <dcterms:created xsi:type="dcterms:W3CDTF">2020-03-24T13:03:00Z</dcterms:created>
  <dcterms:modified xsi:type="dcterms:W3CDTF">2020-10-15T09:57:00Z</dcterms:modified>
</cp:coreProperties>
</file>