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891"/>
        <w:gridCol w:w="181"/>
      </w:tblGrid>
      <w:tr w:rsidR="00315C41" w:rsidRPr="00315C41" w:rsidTr="00D02C52">
        <w:trPr>
          <w:tblCellSpacing w:w="0" w:type="dxa"/>
        </w:trPr>
        <w:tc>
          <w:tcPr>
            <w:tcW w:w="4900" w:type="pct"/>
            <w:hideMark/>
          </w:tcPr>
          <w:p w:rsidR="00315C41" w:rsidRPr="004E7E0E" w:rsidRDefault="00615F37" w:rsidP="00315C41">
            <w:pPr>
              <w:spacing w:before="100" w:beforeAutospacing="1" w:after="100" w:afterAutospacing="1" w:line="280" w:lineRule="atLeast"/>
              <w:rPr>
                <w:rFonts w:ascii="Arial" w:eastAsia="Times New Roman" w:hAnsi="Arial" w:cs="Arial"/>
                <w:b/>
                <w:sz w:val="28"/>
                <w:szCs w:val="28"/>
                <w:lang w:eastAsia="nl-NL"/>
              </w:rPr>
            </w:pPr>
            <w:r w:rsidRPr="004E7E0E">
              <w:rPr>
                <w:rFonts w:ascii="Arial" w:eastAsia="Times New Roman" w:hAnsi="Arial" w:cs="Arial"/>
                <w:b/>
                <w:sz w:val="28"/>
                <w:szCs w:val="28"/>
                <w:lang w:eastAsia="nl-NL"/>
              </w:rPr>
              <w:t>Financieel Analist</w:t>
            </w:r>
          </w:p>
          <w:p w:rsidR="00315C41" w:rsidRPr="00315C41" w:rsidRDefault="00315C41" w:rsidP="00315C41">
            <w:pPr>
              <w:spacing w:after="0" w:line="280" w:lineRule="atLeast"/>
              <w:outlineLvl w:val="1"/>
              <w:rPr>
                <w:rFonts w:ascii="Arial" w:eastAsia="Times New Roman" w:hAnsi="Arial" w:cs="Arial"/>
                <w:sz w:val="20"/>
                <w:szCs w:val="20"/>
                <w:lang w:eastAsia="nl-NL"/>
              </w:rPr>
            </w:pPr>
            <w:bookmarkStart w:id="0" w:name="_GoBack"/>
            <w:bookmarkEnd w:id="0"/>
            <w:r w:rsidRPr="00315C41">
              <w:rPr>
                <w:rFonts w:ascii="Arial" w:eastAsia="Times New Roman" w:hAnsi="Arial" w:cs="Arial"/>
                <w:b/>
                <w:bCs/>
                <w:color w:val="333333"/>
                <w:sz w:val="20"/>
                <w:szCs w:val="20"/>
                <w:lang w:eastAsia="nl-NL"/>
              </w:rPr>
              <w:t xml:space="preserve">Functiegebied: </w:t>
            </w:r>
            <w:r w:rsidRPr="009A2657">
              <w:rPr>
                <w:rFonts w:ascii="Arial" w:eastAsia="Times New Roman" w:hAnsi="Arial" w:cs="Arial"/>
                <w:bCs/>
                <w:color w:val="333333"/>
                <w:sz w:val="20"/>
                <w:szCs w:val="20"/>
                <w:lang w:eastAsia="nl-NL"/>
              </w:rPr>
              <w:t>Financiën</w:t>
            </w:r>
            <w:r w:rsidRPr="00315C41">
              <w:rPr>
                <w:rFonts w:ascii="Arial" w:eastAsia="Times New Roman" w:hAnsi="Arial" w:cs="Arial"/>
                <w:sz w:val="20"/>
                <w:szCs w:val="20"/>
                <w:lang w:eastAsia="nl-NL"/>
              </w:rPr>
              <w:t> </w:t>
            </w:r>
          </w:p>
          <w:p w:rsidR="00315C41" w:rsidRPr="00315C41" w:rsidRDefault="00315C41" w:rsidP="00315C41">
            <w:pPr>
              <w:spacing w:after="0" w:line="280" w:lineRule="atLeast"/>
              <w:outlineLvl w:val="1"/>
              <w:rPr>
                <w:rFonts w:ascii="Arial" w:eastAsia="Times New Roman" w:hAnsi="Arial" w:cs="Arial"/>
                <w:sz w:val="20"/>
                <w:szCs w:val="20"/>
                <w:lang w:eastAsia="nl-NL"/>
              </w:rPr>
            </w:pPr>
            <w:r w:rsidRPr="00315C41">
              <w:rPr>
                <w:rFonts w:ascii="Arial" w:eastAsia="Times New Roman" w:hAnsi="Arial" w:cs="Arial"/>
                <w:b/>
                <w:bCs/>
                <w:color w:val="333333"/>
                <w:sz w:val="20"/>
                <w:szCs w:val="20"/>
                <w:lang w:eastAsia="nl-NL"/>
              </w:rPr>
              <w:t>Organisatie:</w:t>
            </w:r>
            <w:r w:rsidRPr="00315C41">
              <w:rPr>
                <w:rFonts w:ascii="Arial" w:eastAsia="Times New Roman" w:hAnsi="Arial" w:cs="Arial"/>
                <w:sz w:val="20"/>
                <w:szCs w:val="20"/>
                <w:lang w:eastAsia="nl-NL"/>
              </w:rPr>
              <w:t> </w:t>
            </w:r>
            <w:r w:rsidRPr="00315C41">
              <w:rPr>
                <w:rFonts w:ascii="Arial" w:eastAsia="Times New Roman" w:hAnsi="Arial" w:cs="Arial"/>
                <w:color w:val="000000"/>
                <w:sz w:val="20"/>
                <w:szCs w:val="20"/>
                <w:lang w:eastAsia="nl-NL"/>
              </w:rPr>
              <w:t>Cluster Bestuurs- en Concernondersteuning</w:t>
            </w:r>
          </w:p>
          <w:p w:rsidR="00315C41" w:rsidRPr="00315C41" w:rsidRDefault="00315C41" w:rsidP="00315C41">
            <w:pPr>
              <w:spacing w:after="0" w:line="280" w:lineRule="atLeast"/>
              <w:outlineLvl w:val="1"/>
              <w:rPr>
                <w:rFonts w:ascii="Arial" w:eastAsia="Times New Roman" w:hAnsi="Arial" w:cs="Arial"/>
                <w:color w:val="000000"/>
                <w:sz w:val="20"/>
                <w:szCs w:val="20"/>
                <w:lang w:eastAsia="nl-NL"/>
              </w:rPr>
            </w:pPr>
            <w:r w:rsidRPr="00315C41">
              <w:rPr>
                <w:rFonts w:ascii="Arial" w:eastAsia="Times New Roman" w:hAnsi="Arial" w:cs="Arial"/>
                <w:b/>
                <w:bCs/>
                <w:color w:val="333333"/>
                <w:sz w:val="20"/>
                <w:szCs w:val="20"/>
                <w:lang w:eastAsia="nl-NL"/>
              </w:rPr>
              <w:t>Werk- en denkniveau:</w:t>
            </w:r>
            <w:r w:rsidRPr="00315C41">
              <w:rPr>
                <w:rFonts w:ascii="Arial" w:eastAsia="Times New Roman" w:hAnsi="Arial" w:cs="Arial"/>
                <w:sz w:val="20"/>
                <w:szCs w:val="20"/>
                <w:lang w:eastAsia="nl-NL"/>
              </w:rPr>
              <w:t> </w:t>
            </w:r>
            <w:r w:rsidR="00C44B12">
              <w:rPr>
                <w:rFonts w:ascii="Arial" w:eastAsia="Times New Roman" w:hAnsi="Arial" w:cs="Arial"/>
                <w:sz w:val="20"/>
                <w:szCs w:val="20"/>
                <w:lang w:eastAsia="nl-NL"/>
              </w:rPr>
              <w:t>HBO</w:t>
            </w:r>
          </w:p>
          <w:p w:rsidR="00315C41" w:rsidRPr="00315C41" w:rsidRDefault="00315C41" w:rsidP="00315C41">
            <w:pPr>
              <w:spacing w:after="0" w:line="280" w:lineRule="atLeast"/>
              <w:rPr>
                <w:rFonts w:ascii="Arial" w:eastAsia="Times New Roman" w:hAnsi="Arial" w:cs="Arial"/>
                <w:sz w:val="20"/>
                <w:szCs w:val="20"/>
                <w:lang w:eastAsia="nl-NL"/>
              </w:rPr>
            </w:pPr>
            <w:r w:rsidRPr="00315C41">
              <w:rPr>
                <w:rFonts w:ascii="Arial" w:eastAsia="Times New Roman" w:hAnsi="Arial" w:cs="Arial"/>
                <w:b/>
                <w:bCs/>
                <w:color w:val="333333"/>
                <w:sz w:val="20"/>
                <w:szCs w:val="20"/>
                <w:lang w:eastAsia="nl-NL"/>
              </w:rPr>
              <w:t>FSK :</w:t>
            </w:r>
            <w:r w:rsidRPr="00315C41">
              <w:rPr>
                <w:rFonts w:ascii="Arial" w:eastAsia="Times New Roman" w:hAnsi="Arial" w:cs="Arial"/>
                <w:sz w:val="20"/>
                <w:szCs w:val="20"/>
                <w:lang w:eastAsia="nl-NL"/>
              </w:rPr>
              <w:t> </w:t>
            </w:r>
            <w:r w:rsidR="00C44B12">
              <w:rPr>
                <w:rFonts w:ascii="Arial" w:eastAsia="Times New Roman" w:hAnsi="Arial" w:cs="Arial"/>
                <w:color w:val="000000"/>
                <w:sz w:val="20"/>
                <w:szCs w:val="20"/>
                <w:lang w:eastAsia="nl-NL"/>
              </w:rPr>
              <w:t>FSK 10</w:t>
            </w:r>
          </w:p>
          <w:p w:rsidR="00315C41" w:rsidRPr="00315C41" w:rsidRDefault="00315C41" w:rsidP="00315C41">
            <w:pPr>
              <w:spacing w:after="0" w:line="280" w:lineRule="atLeast"/>
              <w:rPr>
                <w:rFonts w:ascii="Arial" w:eastAsia="Times New Roman" w:hAnsi="Arial" w:cs="Arial"/>
                <w:sz w:val="20"/>
                <w:szCs w:val="20"/>
                <w:lang w:eastAsia="nl-NL"/>
              </w:rPr>
            </w:pPr>
            <w:r w:rsidRPr="00315C41">
              <w:rPr>
                <w:rFonts w:ascii="Arial" w:eastAsia="Times New Roman" w:hAnsi="Arial" w:cs="Arial"/>
                <w:b/>
                <w:bCs/>
                <w:color w:val="333333"/>
                <w:sz w:val="20"/>
                <w:szCs w:val="20"/>
                <w:lang w:eastAsia="nl-NL"/>
              </w:rPr>
              <w:t>Aantal uren per week :</w:t>
            </w:r>
            <w:r w:rsidRPr="00315C41">
              <w:rPr>
                <w:rFonts w:ascii="Arial" w:eastAsia="Times New Roman" w:hAnsi="Arial" w:cs="Arial"/>
                <w:sz w:val="20"/>
                <w:szCs w:val="20"/>
                <w:lang w:eastAsia="nl-NL"/>
              </w:rPr>
              <w:t> </w:t>
            </w:r>
            <w:r w:rsidRPr="00315C41">
              <w:rPr>
                <w:rFonts w:ascii="Arial" w:eastAsia="Times New Roman" w:hAnsi="Arial" w:cs="Arial"/>
                <w:color w:val="000000"/>
                <w:sz w:val="20"/>
                <w:szCs w:val="20"/>
                <w:lang w:eastAsia="nl-NL"/>
              </w:rPr>
              <w:t>36</w:t>
            </w:r>
            <w:r w:rsidRPr="00315C41">
              <w:rPr>
                <w:rFonts w:ascii="Arial" w:eastAsia="Times New Roman" w:hAnsi="Arial" w:cs="Arial"/>
                <w:sz w:val="20"/>
                <w:szCs w:val="20"/>
                <w:lang w:eastAsia="nl-NL"/>
              </w:rPr>
              <w:t> </w:t>
            </w:r>
          </w:p>
          <w:p w:rsidR="00315C41" w:rsidRPr="00315C41" w:rsidRDefault="00315C41" w:rsidP="00315C41">
            <w:pPr>
              <w:spacing w:after="0" w:line="280" w:lineRule="atLeast"/>
              <w:rPr>
                <w:rFonts w:ascii="Arial" w:eastAsia="Times New Roman" w:hAnsi="Arial" w:cs="Arial"/>
                <w:b/>
                <w:bCs/>
                <w:color w:val="333333"/>
                <w:sz w:val="20"/>
                <w:szCs w:val="20"/>
                <w:lang w:eastAsia="nl-NL"/>
              </w:rPr>
            </w:pPr>
          </w:p>
          <w:p w:rsidR="00315C41" w:rsidRPr="00315C41" w:rsidRDefault="00315C41" w:rsidP="00315C41">
            <w:pPr>
              <w:spacing w:after="0" w:line="280" w:lineRule="atLeast"/>
              <w:rPr>
                <w:rFonts w:ascii="Arial" w:eastAsia="Times New Roman" w:hAnsi="Arial" w:cs="Arial"/>
                <w:color w:val="000000"/>
                <w:sz w:val="20"/>
                <w:szCs w:val="20"/>
                <w:lang w:eastAsia="nl-NL"/>
              </w:rPr>
            </w:pPr>
            <w:r w:rsidRPr="00315C41">
              <w:rPr>
                <w:rFonts w:ascii="Arial" w:eastAsia="Times New Roman" w:hAnsi="Arial" w:cs="Arial"/>
                <w:b/>
                <w:bCs/>
                <w:color w:val="333333"/>
                <w:sz w:val="20"/>
                <w:szCs w:val="20"/>
                <w:lang w:eastAsia="nl-NL"/>
              </w:rPr>
              <w:t>Concernprofiel</w:t>
            </w:r>
            <w:r w:rsidRPr="00315C41">
              <w:rPr>
                <w:rFonts w:ascii="Arial" w:eastAsia="Times New Roman" w:hAnsi="Arial" w:cs="Arial"/>
                <w:color w:val="000000"/>
                <w:sz w:val="20"/>
                <w:szCs w:val="20"/>
                <w:lang w:eastAsia="nl-NL"/>
              </w:rPr>
              <w:t> </w:t>
            </w:r>
          </w:p>
          <w:p w:rsidR="00315C41" w:rsidRPr="00315C41" w:rsidRDefault="00315C41" w:rsidP="00315C41">
            <w:pPr>
              <w:spacing w:after="0" w:line="280" w:lineRule="atLeast"/>
              <w:rPr>
                <w:rFonts w:ascii="Arial" w:eastAsia="Times New Roman" w:hAnsi="Arial" w:cs="Arial"/>
                <w:color w:val="000000"/>
                <w:sz w:val="20"/>
                <w:szCs w:val="20"/>
                <w:lang w:eastAsia="nl-NL"/>
              </w:rPr>
            </w:pPr>
            <w:r w:rsidRPr="00315C41">
              <w:rPr>
                <w:rFonts w:ascii="Arial" w:eastAsia="Times New Roman" w:hAnsi="Arial" w:cs="Arial"/>
                <w:color w:val="000000"/>
                <w:sz w:val="20"/>
                <w:szCs w:val="20"/>
                <w:lang w:eastAsia="nl-NL"/>
              </w:rP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(beleids)clusters op het gebied van bedrijfsvoering. ICT, HR, Facilitaire Zaken, Juridische Zaken, Onderzoek, Financiën, Inkoop en Communicatie zijn gebundeld. Zo levert het cluster haar bijdrage die de organisatie nodig heeft bij het uitvoeren van haar werk voor de stad.</w:t>
            </w:r>
          </w:p>
          <w:p w:rsidR="00315C41" w:rsidRPr="00315C41" w:rsidRDefault="00315C41" w:rsidP="00315C41">
            <w:pPr>
              <w:spacing w:after="0" w:line="280" w:lineRule="atLeast"/>
              <w:rPr>
                <w:rFonts w:ascii="Arial" w:eastAsia="Times New Roman" w:hAnsi="Arial" w:cs="Arial"/>
                <w:color w:val="000000"/>
                <w:sz w:val="20"/>
                <w:szCs w:val="20"/>
                <w:lang w:eastAsia="nl-NL"/>
              </w:rPr>
            </w:pPr>
            <w:r w:rsidRPr="00315C41">
              <w:rPr>
                <w:rFonts w:ascii="Arial" w:eastAsia="Times New Roman" w:hAnsi="Arial" w:cs="Arial"/>
                <w:color w:val="000000"/>
                <w:sz w:val="20"/>
                <w:szCs w:val="20"/>
                <w:lang w:eastAsia="nl-NL"/>
              </w:rPr>
              <w:t> </w:t>
            </w:r>
          </w:p>
          <w:p w:rsidR="00315C41" w:rsidRPr="00315C41" w:rsidRDefault="00315C41" w:rsidP="00315C41">
            <w:pPr>
              <w:spacing w:after="0" w:line="280" w:lineRule="atLeast"/>
              <w:rPr>
                <w:rFonts w:ascii="Arial" w:eastAsia="Times New Roman" w:hAnsi="Arial" w:cs="Arial"/>
                <w:color w:val="000000"/>
                <w:sz w:val="20"/>
                <w:szCs w:val="20"/>
                <w:lang w:eastAsia="nl-NL"/>
              </w:rPr>
            </w:pPr>
            <w:r w:rsidRPr="00315C41">
              <w:rPr>
                <w:rFonts w:ascii="Arial" w:eastAsia="Times New Roman" w:hAnsi="Arial" w:cs="Arial"/>
                <w:color w:val="000000"/>
                <w:sz w:val="20"/>
                <w:szCs w:val="20"/>
                <w:lang w:eastAsia="nl-NL"/>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15C41" w:rsidRPr="00315C41" w:rsidRDefault="00315C41" w:rsidP="00315C41">
            <w:pPr>
              <w:spacing w:after="0" w:line="280" w:lineRule="atLeast"/>
              <w:rPr>
                <w:rFonts w:ascii="Arial" w:eastAsia="Times New Roman" w:hAnsi="Arial" w:cs="Arial"/>
                <w:sz w:val="20"/>
                <w:szCs w:val="20"/>
                <w:lang w:eastAsia="nl-NL"/>
              </w:rPr>
            </w:pPr>
            <w:r w:rsidRPr="00315C41">
              <w:rPr>
                <w:rFonts w:ascii="Arial" w:eastAsia="Times New Roman" w:hAnsi="Arial" w:cs="Arial"/>
                <w:sz w:val="20"/>
                <w:szCs w:val="20"/>
                <w:lang w:eastAsia="nl-NL"/>
              </w:rPr>
              <w:t> </w:t>
            </w:r>
          </w:p>
          <w:p w:rsidR="00315C41" w:rsidRPr="00315C41" w:rsidRDefault="00315C41" w:rsidP="00315C41">
            <w:pPr>
              <w:spacing w:after="0" w:line="280" w:lineRule="atLeast"/>
              <w:rPr>
                <w:rFonts w:ascii="Arial" w:eastAsia="Times New Roman" w:hAnsi="Arial" w:cs="Arial"/>
                <w:sz w:val="20"/>
                <w:szCs w:val="20"/>
                <w:lang w:eastAsia="nl-NL"/>
              </w:rPr>
            </w:pPr>
            <w:r w:rsidRPr="00315C41">
              <w:rPr>
                <w:rFonts w:ascii="Arial" w:eastAsia="Times New Roman" w:hAnsi="Arial" w:cs="Arial"/>
                <w:b/>
                <w:bCs/>
                <w:color w:val="333333"/>
                <w:sz w:val="20"/>
                <w:szCs w:val="20"/>
                <w:lang w:eastAsia="nl-NL"/>
              </w:rPr>
              <w:t>Omschrijving afdeling</w:t>
            </w:r>
            <w:r w:rsidRPr="00315C41">
              <w:rPr>
                <w:rFonts w:ascii="Arial" w:eastAsia="Times New Roman" w:hAnsi="Arial" w:cs="Arial"/>
                <w:sz w:val="20"/>
                <w:szCs w:val="20"/>
                <w:lang w:eastAsia="nl-NL"/>
              </w:rPr>
              <w:t> </w:t>
            </w:r>
          </w:p>
          <w:p w:rsidR="00315C41" w:rsidRPr="00315C41" w:rsidRDefault="00315C41" w:rsidP="00315C41">
            <w:pPr>
              <w:spacing w:after="0" w:line="280" w:lineRule="atLeast"/>
              <w:rPr>
                <w:rFonts w:ascii="Arial" w:eastAsia="Calibri" w:hAnsi="Arial" w:cs="Arial"/>
                <w:b/>
                <w:bCs/>
                <w:sz w:val="20"/>
                <w:szCs w:val="20"/>
              </w:rPr>
            </w:pPr>
            <w:r w:rsidRPr="00315C41">
              <w:rPr>
                <w:rFonts w:ascii="Arial" w:eastAsia="Calibri" w:hAnsi="Arial" w:cs="Arial"/>
                <w:sz w:val="20"/>
                <w:szCs w:val="20"/>
              </w:rPr>
              <w:t xml:space="preserve">De afdeling Financial Reporting is verantwoordelijk voor alle financiële eindproducten en rapportages en bewaakt de voortgang van het primaire proces ten opzichte van de financiële doelstellingen. De afdeling is de eindschakel in het Inkoop/Financiën ketenproces. Zij voert de regie op de producten die binnen het Planning&amp;Control proces tot stand komen en levert richtlijnen die voor de totstandkoming van de producten noodzakelijk zijn. Daarnaast levert de afdeling kennis, expertise en capaciteit om de ontwikkel- en veranderopgave binnen de financiële functie te realiseren. De afdeling Financial Reporting is een betrouwbare sparringpartner voor het primaire proces op het gebied van financiën. </w:t>
            </w:r>
          </w:p>
          <w:p w:rsidR="00315C41" w:rsidRPr="00315C41" w:rsidRDefault="00315C41" w:rsidP="00315C41">
            <w:pPr>
              <w:spacing w:after="0" w:line="280" w:lineRule="atLeast"/>
              <w:rPr>
                <w:rFonts w:ascii="Arial" w:eastAsia="MS Mincho" w:hAnsi="Arial" w:cs="Arial"/>
                <w:sz w:val="20"/>
                <w:szCs w:val="20"/>
                <w:lang w:eastAsia="ja-JP"/>
              </w:rPr>
            </w:pPr>
          </w:p>
          <w:p w:rsidR="00315C41" w:rsidRPr="00315C41" w:rsidRDefault="00315C41" w:rsidP="00315C41">
            <w:pPr>
              <w:spacing w:after="0" w:line="280" w:lineRule="atLeast"/>
              <w:rPr>
                <w:rFonts w:ascii="Arial" w:eastAsia="Calibri" w:hAnsi="Arial" w:cs="Arial"/>
                <w:sz w:val="20"/>
                <w:szCs w:val="20"/>
              </w:rPr>
            </w:pPr>
            <w:r w:rsidRPr="00315C41">
              <w:rPr>
                <w:rFonts w:ascii="Arial" w:eastAsia="Calibri" w:hAnsi="Arial" w:cs="Arial"/>
                <w:sz w:val="20"/>
                <w:szCs w:val="20"/>
              </w:rPr>
              <w:t>De afdeling bestaat uit gedeconcentreerd werkende teams die per cluster zijn ingericht, een centraal team, een team Rijksbelastingen en een team Project &amp; Procesmanagement.</w:t>
            </w:r>
          </w:p>
          <w:p w:rsidR="00315C41" w:rsidRPr="00315C41" w:rsidRDefault="00315C41" w:rsidP="00315C41">
            <w:pPr>
              <w:spacing w:after="0" w:line="280" w:lineRule="atLeast"/>
              <w:rPr>
                <w:rFonts w:ascii="Arial" w:eastAsia="Times New Roman" w:hAnsi="Arial" w:cs="Arial"/>
                <w:sz w:val="20"/>
                <w:szCs w:val="20"/>
                <w:lang w:eastAsia="nl-NL"/>
              </w:rPr>
            </w:pPr>
            <w:r w:rsidRPr="00315C41">
              <w:rPr>
                <w:rFonts w:ascii="Arial" w:eastAsia="Times New Roman" w:hAnsi="Arial" w:cs="Arial"/>
                <w:sz w:val="20"/>
                <w:szCs w:val="20"/>
                <w:lang w:eastAsia="nl-NL"/>
              </w:rPr>
              <w:t> </w:t>
            </w:r>
          </w:p>
          <w:p w:rsidR="00315C41" w:rsidRPr="00315C41" w:rsidRDefault="00315C41" w:rsidP="00315C41">
            <w:pPr>
              <w:spacing w:after="0" w:line="280" w:lineRule="atLeast"/>
              <w:outlineLvl w:val="1"/>
              <w:rPr>
                <w:rFonts w:ascii="Arial" w:eastAsia="Times New Roman" w:hAnsi="Arial" w:cs="Arial"/>
                <w:b/>
                <w:bCs/>
                <w:sz w:val="20"/>
                <w:szCs w:val="20"/>
                <w:lang w:eastAsia="nl-NL"/>
              </w:rPr>
            </w:pPr>
            <w:r w:rsidRPr="00315C41">
              <w:rPr>
                <w:rFonts w:ascii="Arial" w:eastAsia="Times New Roman" w:hAnsi="Arial" w:cs="Arial"/>
                <w:b/>
                <w:bCs/>
                <w:color w:val="333333"/>
                <w:sz w:val="20"/>
                <w:szCs w:val="20"/>
                <w:lang w:eastAsia="nl-NL"/>
              </w:rPr>
              <w:t>De functie</w:t>
            </w:r>
          </w:p>
          <w:p w:rsidR="00C44B12" w:rsidRPr="00C44B12" w:rsidRDefault="00C44B12" w:rsidP="00C44B12">
            <w:pPr>
              <w:spacing w:after="0" w:line="280" w:lineRule="atLeast"/>
              <w:rPr>
                <w:rFonts w:ascii="Arial" w:eastAsia="Calibri" w:hAnsi="Arial" w:cs="Arial"/>
                <w:sz w:val="20"/>
              </w:rPr>
            </w:pPr>
            <w:r w:rsidRPr="00C44B12">
              <w:rPr>
                <w:rFonts w:ascii="Arial" w:eastAsia="Calibri" w:hAnsi="Arial" w:cs="Arial"/>
                <w:sz w:val="20"/>
              </w:rPr>
              <w:t xml:space="preserve">Het centrale team heeft verschillen taken waaronder het voeren van regie op de totstandkoming P&amp;C-producten en het uitvoeren van verschillende cijferanalyses op concernniveau. Binnen dit werkveld is de financieel analist breed inzetbaar vanuit een uitvoerende rol. Daarbij wordt niet alleen verwacht het goed en op tijd opleveren van analyses en rapportages. Enkele werkzaamheden zijn het zelfstandig uitvoeren van specifieke maandelijkse cijferanalyses en het opstellen van rapportages, maar ook ondersteuning in de regierol van het Centrale Team door bijvoorbeeld het opstellen van voortgangsrapportages en bewaken van actielijsten. </w:t>
            </w:r>
          </w:p>
          <w:p w:rsidR="00C44B12" w:rsidRPr="00315C41" w:rsidRDefault="00C44B12" w:rsidP="00C44B12">
            <w:pPr>
              <w:spacing w:after="0" w:line="280" w:lineRule="atLeast"/>
              <w:rPr>
                <w:rFonts w:ascii="Arial" w:eastAsia="Times New Roman" w:hAnsi="Arial" w:cs="Arial"/>
                <w:sz w:val="20"/>
                <w:szCs w:val="20"/>
                <w:lang w:eastAsia="nl-NL"/>
              </w:rPr>
            </w:pPr>
          </w:p>
          <w:p w:rsidR="00315C41" w:rsidRPr="00315C41" w:rsidRDefault="00315C41" w:rsidP="00315C41">
            <w:pPr>
              <w:spacing w:after="0" w:line="280" w:lineRule="atLeast"/>
              <w:outlineLvl w:val="1"/>
              <w:rPr>
                <w:rFonts w:ascii="Arial" w:eastAsia="Times New Roman" w:hAnsi="Arial" w:cs="Arial"/>
                <w:b/>
                <w:bCs/>
                <w:sz w:val="20"/>
                <w:szCs w:val="20"/>
                <w:lang w:eastAsia="nl-NL"/>
              </w:rPr>
            </w:pPr>
            <w:r w:rsidRPr="00315C41">
              <w:rPr>
                <w:rFonts w:ascii="Arial" w:eastAsia="Times New Roman" w:hAnsi="Arial" w:cs="Arial"/>
                <w:b/>
                <w:bCs/>
                <w:color w:val="333333"/>
                <w:sz w:val="20"/>
                <w:szCs w:val="20"/>
                <w:lang w:eastAsia="nl-NL"/>
              </w:rPr>
              <w:t>Vraag en aanbod</w:t>
            </w:r>
          </w:p>
          <w:p w:rsidR="00C44B12" w:rsidRDefault="003557B4" w:rsidP="00C44B12">
            <w:pPr>
              <w:spacing w:after="0" w:line="280" w:lineRule="atLeast"/>
              <w:rPr>
                <w:rFonts w:ascii="Arial" w:eastAsia="Calibri" w:hAnsi="Arial" w:cs="Arial"/>
                <w:sz w:val="20"/>
              </w:rPr>
            </w:pPr>
            <w:r w:rsidRPr="00315C41">
              <w:rPr>
                <w:rFonts w:ascii="Arial" w:eastAsia="Calibri" w:hAnsi="Arial" w:cs="Arial"/>
                <w:sz w:val="20"/>
                <w:szCs w:val="20"/>
              </w:rPr>
              <w:t xml:space="preserve">Je beschikt over een relevante (financiële) </w:t>
            </w:r>
            <w:r w:rsidR="009C6982">
              <w:rPr>
                <w:rFonts w:ascii="Arial" w:eastAsia="Calibri" w:hAnsi="Arial" w:cs="Arial"/>
                <w:spacing w:val="-3"/>
                <w:sz w:val="20"/>
                <w:szCs w:val="20"/>
              </w:rPr>
              <w:t>HBO</w:t>
            </w:r>
            <w:r w:rsidRPr="00315C41">
              <w:rPr>
                <w:rFonts w:ascii="Arial" w:eastAsia="Calibri" w:hAnsi="Arial" w:cs="Arial"/>
                <w:spacing w:val="-3"/>
                <w:sz w:val="20"/>
                <w:szCs w:val="20"/>
              </w:rPr>
              <w:t xml:space="preserve"> opleiding</w:t>
            </w:r>
            <w:r>
              <w:rPr>
                <w:rFonts w:ascii="Arial" w:eastAsia="Calibri" w:hAnsi="Arial" w:cs="Arial"/>
                <w:spacing w:val="-3"/>
                <w:sz w:val="20"/>
                <w:szCs w:val="20"/>
              </w:rPr>
              <w:t xml:space="preserve">. </w:t>
            </w:r>
            <w:r w:rsidR="00C44B12" w:rsidRPr="00C44B12">
              <w:rPr>
                <w:rFonts w:ascii="Arial" w:eastAsia="Calibri" w:hAnsi="Arial" w:cs="Arial"/>
                <w:sz w:val="20"/>
              </w:rPr>
              <w:t>Wij zoeken een echte teamplayer</w:t>
            </w:r>
            <w:r w:rsidR="00F308E1">
              <w:rPr>
                <w:rFonts w:ascii="Arial" w:eastAsia="Calibri" w:hAnsi="Arial" w:cs="Arial"/>
                <w:sz w:val="20"/>
              </w:rPr>
              <w:t xml:space="preserve"> die</w:t>
            </w:r>
            <w:r w:rsidR="00C44B12" w:rsidRPr="00C44B12">
              <w:rPr>
                <w:rFonts w:ascii="Arial" w:eastAsia="Calibri" w:hAnsi="Arial" w:cs="Arial"/>
                <w:sz w:val="20"/>
              </w:rPr>
              <w:t xml:space="preserve"> accuraat werkt, een kritische houding heeft, zelfstandig kan werken en flexibel is. De </w:t>
            </w:r>
            <w:r w:rsidR="00F308E1">
              <w:rPr>
                <w:rFonts w:ascii="Arial" w:eastAsia="Calibri" w:hAnsi="Arial" w:cs="Arial"/>
                <w:sz w:val="20"/>
              </w:rPr>
              <w:t>F</w:t>
            </w:r>
            <w:r w:rsidR="00C44B12" w:rsidRPr="00C44B12">
              <w:rPr>
                <w:rFonts w:ascii="Arial" w:eastAsia="Calibri" w:hAnsi="Arial" w:cs="Arial"/>
                <w:sz w:val="20"/>
              </w:rPr>
              <w:t xml:space="preserve">inancieel </w:t>
            </w:r>
            <w:r w:rsidR="00F308E1">
              <w:rPr>
                <w:rFonts w:ascii="Arial" w:eastAsia="Calibri" w:hAnsi="Arial" w:cs="Arial"/>
                <w:sz w:val="20"/>
              </w:rPr>
              <w:t>A</w:t>
            </w:r>
            <w:r w:rsidR="00C44B12" w:rsidRPr="00C44B12">
              <w:rPr>
                <w:rFonts w:ascii="Arial" w:eastAsia="Calibri" w:hAnsi="Arial" w:cs="Arial"/>
                <w:sz w:val="20"/>
              </w:rPr>
              <w:t xml:space="preserve">nalist heeft ruime ervaring met het opleveren van P&amp;C-producten (o.a. begroting, jaarrekening, maandrapportages) en is bekend met de systematiek en werking van de financiële en </w:t>
            </w:r>
            <w:r w:rsidR="00C44B12" w:rsidRPr="00C44B12">
              <w:rPr>
                <w:rFonts w:ascii="Arial" w:eastAsia="Calibri" w:hAnsi="Arial" w:cs="Arial"/>
                <w:sz w:val="20"/>
              </w:rPr>
              <w:lastRenderedPageBreak/>
              <w:t>begrotingsadmin</w:t>
            </w:r>
            <w:r w:rsidR="001D3586">
              <w:rPr>
                <w:rFonts w:ascii="Arial" w:eastAsia="Calibri" w:hAnsi="Arial" w:cs="Arial"/>
                <w:sz w:val="20"/>
              </w:rPr>
              <w:t>istratie (Oracle en Lias). De F</w:t>
            </w:r>
            <w:r w:rsidR="00C44B12" w:rsidRPr="00C44B12">
              <w:rPr>
                <w:rFonts w:ascii="Arial" w:eastAsia="Calibri" w:hAnsi="Arial" w:cs="Arial"/>
                <w:sz w:val="20"/>
              </w:rPr>
              <w:t xml:space="preserve">inancieel </w:t>
            </w:r>
            <w:r w:rsidR="001D3586">
              <w:rPr>
                <w:rFonts w:ascii="Arial" w:eastAsia="Calibri" w:hAnsi="Arial" w:cs="Arial"/>
                <w:sz w:val="20"/>
              </w:rPr>
              <w:t>A</w:t>
            </w:r>
            <w:r w:rsidR="00C44B12" w:rsidRPr="00C44B12">
              <w:rPr>
                <w:rFonts w:ascii="Arial" w:eastAsia="Calibri" w:hAnsi="Arial" w:cs="Arial"/>
                <w:sz w:val="20"/>
              </w:rPr>
              <w:t xml:space="preserve">nalist </w:t>
            </w:r>
            <w:r w:rsidR="001D3586">
              <w:rPr>
                <w:rFonts w:ascii="Arial" w:eastAsia="Calibri" w:hAnsi="Arial" w:cs="Arial"/>
                <w:sz w:val="20"/>
              </w:rPr>
              <w:t xml:space="preserve">snapt de achtergronden van de </w:t>
            </w:r>
            <w:r w:rsidR="00C44B12" w:rsidRPr="00C44B12">
              <w:rPr>
                <w:rFonts w:ascii="Arial" w:eastAsia="Calibri" w:hAnsi="Arial" w:cs="Arial"/>
                <w:sz w:val="20"/>
              </w:rPr>
              <w:t xml:space="preserve">vraagstelling en kan ook een overall oordeel vormen van de uitkomsten en advies geven voor het vervolg. </w:t>
            </w:r>
          </w:p>
          <w:p w:rsidR="002B722B" w:rsidRPr="002B722B" w:rsidRDefault="002B722B" w:rsidP="00315C41">
            <w:pPr>
              <w:spacing w:after="0" w:line="280" w:lineRule="atLeast"/>
              <w:rPr>
                <w:rFonts w:ascii="Arial" w:eastAsia="Calibri" w:hAnsi="Arial" w:cs="Arial"/>
                <w:sz w:val="20"/>
              </w:rPr>
            </w:pPr>
          </w:p>
          <w:p w:rsidR="00315C41" w:rsidRPr="00315C41" w:rsidRDefault="00315C41" w:rsidP="00315C41">
            <w:pPr>
              <w:spacing w:after="0" w:line="280" w:lineRule="atLeast"/>
              <w:rPr>
                <w:rFonts w:ascii="Arial" w:eastAsia="Times New Roman" w:hAnsi="Arial" w:cs="Arial"/>
                <w:sz w:val="20"/>
                <w:szCs w:val="20"/>
                <w:lang w:eastAsia="nl-NL"/>
              </w:rPr>
            </w:pPr>
            <w:r w:rsidRPr="00315C41">
              <w:rPr>
                <w:rFonts w:ascii="Arial" w:eastAsia="Times New Roman" w:hAnsi="Arial" w:cs="Arial"/>
                <w:sz w:val="20"/>
                <w:szCs w:val="20"/>
                <w:lang w:eastAsia="nl-NL"/>
              </w:rPr>
              <w:t xml:space="preserve">Afhankelijk van je leeftijd, opleiding en ervaring bedraagt je salaris maximaal € </w:t>
            </w:r>
            <w:r w:rsidR="00C44B12">
              <w:rPr>
                <w:rFonts w:ascii="Arial" w:eastAsia="Times New Roman" w:hAnsi="Arial" w:cs="Arial"/>
                <w:sz w:val="20"/>
                <w:szCs w:val="20"/>
                <w:lang w:eastAsia="nl-NL"/>
              </w:rPr>
              <w:t>4</w:t>
            </w:r>
            <w:r w:rsidRPr="00315C41">
              <w:rPr>
                <w:rFonts w:ascii="Arial" w:eastAsia="Times New Roman" w:hAnsi="Arial" w:cs="Arial"/>
                <w:sz w:val="20"/>
                <w:szCs w:val="20"/>
                <w:lang w:eastAsia="nl-NL"/>
              </w:rPr>
              <w:t>.</w:t>
            </w:r>
            <w:r w:rsidR="00C44B12">
              <w:rPr>
                <w:rFonts w:ascii="Arial" w:eastAsia="Times New Roman" w:hAnsi="Arial" w:cs="Arial"/>
                <w:sz w:val="20"/>
                <w:szCs w:val="20"/>
                <w:lang w:eastAsia="nl-NL"/>
              </w:rPr>
              <w:t>105</w:t>
            </w:r>
            <w:r w:rsidRPr="00315C41">
              <w:rPr>
                <w:rFonts w:ascii="Arial" w:eastAsia="Times New Roman" w:hAnsi="Arial" w:cs="Arial"/>
                <w:sz w:val="20"/>
                <w:szCs w:val="20"/>
                <w:lang w:eastAsia="nl-NL"/>
              </w:rPr>
              <w:t>,- (schaal 1</w:t>
            </w:r>
            <w:r w:rsidR="00C44B12">
              <w:rPr>
                <w:rFonts w:ascii="Arial" w:eastAsia="Times New Roman" w:hAnsi="Arial" w:cs="Arial"/>
                <w:sz w:val="20"/>
                <w:szCs w:val="20"/>
                <w:lang w:eastAsia="nl-NL"/>
              </w:rPr>
              <w:t>0</w:t>
            </w:r>
            <w:r w:rsidRPr="00315C41">
              <w:rPr>
                <w:rFonts w:ascii="Arial" w:eastAsia="Times New Roman" w:hAnsi="Arial" w:cs="Arial"/>
                <w:sz w:val="20"/>
                <w:szCs w:val="20"/>
                <w:lang w:eastAsia="nl-NL"/>
              </w:rPr>
              <w:t>) bruto op basis van een 36-urige werkweek.</w:t>
            </w:r>
          </w:p>
          <w:p w:rsidR="00315C41" w:rsidRPr="00315C41" w:rsidRDefault="00315C41" w:rsidP="00315C41">
            <w:pPr>
              <w:spacing w:after="0" w:line="280" w:lineRule="atLeast"/>
              <w:rPr>
                <w:rFonts w:ascii="Arial" w:eastAsia="Times New Roman" w:hAnsi="Arial" w:cs="Arial"/>
                <w:color w:val="000000"/>
                <w:sz w:val="20"/>
                <w:szCs w:val="20"/>
                <w:lang w:eastAsia="nl-NL"/>
              </w:rPr>
            </w:pPr>
          </w:p>
        </w:tc>
        <w:tc>
          <w:tcPr>
            <w:tcW w:w="0" w:type="auto"/>
            <w:vAlign w:val="center"/>
            <w:hideMark/>
          </w:tcPr>
          <w:p w:rsidR="00315C41" w:rsidRPr="00315C41" w:rsidRDefault="00315C41" w:rsidP="00315C41">
            <w:pPr>
              <w:spacing w:before="100" w:beforeAutospacing="1" w:after="100" w:afterAutospacing="1" w:line="280" w:lineRule="atLeast"/>
              <w:rPr>
                <w:rFonts w:ascii="Arial" w:eastAsia="Times New Roman" w:hAnsi="Arial" w:cs="Arial"/>
                <w:color w:val="000000"/>
                <w:sz w:val="20"/>
                <w:szCs w:val="20"/>
                <w:lang w:eastAsia="nl-NL"/>
              </w:rPr>
            </w:pPr>
          </w:p>
        </w:tc>
      </w:tr>
    </w:tbl>
    <w:p w:rsidR="008E7C01" w:rsidRDefault="008E7C01"/>
    <w:sectPr w:rsidR="008E7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9C"/>
    <w:rsid w:val="00011423"/>
    <w:rsid w:val="000150DC"/>
    <w:rsid w:val="00072535"/>
    <w:rsid w:val="001406AB"/>
    <w:rsid w:val="001D3586"/>
    <w:rsid w:val="002B722B"/>
    <w:rsid w:val="003019D7"/>
    <w:rsid w:val="00315C41"/>
    <w:rsid w:val="003342F8"/>
    <w:rsid w:val="003557B4"/>
    <w:rsid w:val="003964DB"/>
    <w:rsid w:val="003B387B"/>
    <w:rsid w:val="00431D9B"/>
    <w:rsid w:val="004403FC"/>
    <w:rsid w:val="00445D25"/>
    <w:rsid w:val="00476658"/>
    <w:rsid w:val="004E7E0E"/>
    <w:rsid w:val="005616BE"/>
    <w:rsid w:val="00615F37"/>
    <w:rsid w:val="00616AA1"/>
    <w:rsid w:val="006A7D40"/>
    <w:rsid w:val="0085194B"/>
    <w:rsid w:val="00881F0C"/>
    <w:rsid w:val="008A2533"/>
    <w:rsid w:val="008E7C01"/>
    <w:rsid w:val="008F18B4"/>
    <w:rsid w:val="009A2657"/>
    <w:rsid w:val="009B3183"/>
    <w:rsid w:val="009C329D"/>
    <w:rsid w:val="009C6982"/>
    <w:rsid w:val="00A43877"/>
    <w:rsid w:val="00B27FA4"/>
    <w:rsid w:val="00C44B12"/>
    <w:rsid w:val="00E77E91"/>
    <w:rsid w:val="00EA29FD"/>
    <w:rsid w:val="00F308E1"/>
    <w:rsid w:val="00F6188E"/>
    <w:rsid w:val="00F62374"/>
    <w:rsid w:val="00F824B5"/>
    <w:rsid w:val="00FC5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0B04-88E7-4354-A7D4-EA0CD737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4EAFE2A7</Template>
  <TotalTime>1</TotalTime>
  <Pages>2</Pages>
  <Words>529</Words>
  <Characters>2915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 de Neef</dc:creator>
  <cp:keywords/>
  <dc:description/>
  <cp:lastModifiedBy>Oosten R. van den (Robin)</cp:lastModifiedBy>
  <cp:revision>2</cp:revision>
  <dcterms:created xsi:type="dcterms:W3CDTF">2017-08-16T11:53:00Z</dcterms:created>
  <dcterms:modified xsi:type="dcterms:W3CDTF">2017-08-16T11:53:00Z</dcterms:modified>
</cp:coreProperties>
</file>