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9639"/>
      </w:tblGrid>
      <w:tr w:rsidR="00DA6AA1" w:rsidRPr="00A9165B" w14:paraId="09FDD041" w14:textId="77777777" w:rsidTr="00586B88">
        <w:tc>
          <w:tcPr>
            <w:tcW w:w="9639" w:type="dxa"/>
          </w:tcPr>
          <w:p w14:paraId="7FE186D0" w14:textId="77777777" w:rsidR="00DA6AA1" w:rsidRDefault="00DA6AA1" w:rsidP="00586B88">
            <w:pPr>
              <w:jc w:val="center"/>
              <w:rPr>
                <w:rFonts w:cs="Arial"/>
                <w:b/>
                <w:sz w:val="26"/>
                <w:szCs w:val="26"/>
              </w:rPr>
            </w:pPr>
          </w:p>
        </w:tc>
      </w:tr>
      <w:tr w:rsidR="00DA6AA1" w:rsidRPr="00A9165B" w14:paraId="3037B3A7" w14:textId="77777777" w:rsidTr="00586B88">
        <w:tc>
          <w:tcPr>
            <w:tcW w:w="9639" w:type="dxa"/>
          </w:tcPr>
          <w:p w14:paraId="692AF64C" w14:textId="77777777" w:rsidR="00DA6AA1" w:rsidRDefault="00DA6AA1" w:rsidP="00586B88">
            <w:pPr>
              <w:jc w:val="center"/>
              <w:rPr>
                <w:rFonts w:cs="Arial"/>
                <w:b/>
                <w:sz w:val="26"/>
                <w:szCs w:val="26"/>
              </w:rPr>
            </w:pPr>
          </w:p>
        </w:tc>
      </w:tr>
      <w:tr w:rsidR="00D1168C" w:rsidRPr="00A9165B" w14:paraId="2A1538C6" w14:textId="77777777" w:rsidTr="00586B88">
        <w:tc>
          <w:tcPr>
            <w:tcW w:w="9639" w:type="dxa"/>
          </w:tcPr>
          <w:p w14:paraId="63F3D2AD" w14:textId="77777777" w:rsidR="00D1168C" w:rsidRPr="0081480A" w:rsidRDefault="00D1168C" w:rsidP="00586B88">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1BE61BDB" w14:textId="77777777" w:rsidR="00D1168C" w:rsidRPr="0081480A" w:rsidRDefault="00D1168C" w:rsidP="00586B88">
            <w:pPr>
              <w:jc w:val="center"/>
              <w:rPr>
                <w:rFonts w:cs="Arial"/>
                <w:b/>
                <w:sz w:val="26"/>
                <w:szCs w:val="26"/>
              </w:rPr>
            </w:pPr>
          </w:p>
          <w:p w14:paraId="65C74E56" w14:textId="77777777" w:rsidR="00D1168C" w:rsidRPr="0081480A" w:rsidRDefault="00D1168C" w:rsidP="00586B88">
            <w:pPr>
              <w:rPr>
                <w:rFonts w:cs="Arial"/>
                <w:sz w:val="26"/>
                <w:szCs w:val="26"/>
                <w:lang w:eastAsia="de-DE"/>
              </w:rPr>
            </w:pPr>
          </w:p>
        </w:tc>
      </w:tr>
      <w:tr w:rsidR="00D1168C" w:rsidRPr="00A752E3" w14:paraId="615D8072" w14:textId="77777777" w:rsidTr="00586B88">
        <w:tc>
          <w:tcPr>
            <w:tcW w:w="9639" w:type="dxa"/>
          </w:tcPr>
          <w:p w14:paraId="0B2FBD41" w14:textId="77777777" w:rsidR="00D1168C" w:rsidRPr="00BB068B" w:rsidRDefault="00D1168C" w:rsidP="00586B88">
            <w:pPr>
              <w:widowControl/>
              <w:adjustRightInd/>
              <w:spacing w:after="120" w:line="260" w:lineRule="atLeast"/>
              <w:jc w:val="center"/>
              <w:rPr>
                <w:rFonts w:cs="Arial"/>
                <w:lang w:eastAsia="de-DE"/>
              </w:rPr>
            </w:pPr>
            <w:r w:rsidRPr="00BB068B">
              <w:rPr>
                <w:rFonts w:cs="Arial"/>
                <w:lang w:eastAsia="de-DE"/>
              </w:rPr>
              <w:t>zwischen der</w:t>
            </w:r>
          </w:p>
          <w:p w14:paraId="417C185E" w14:textId="77777777" w:rsidR="00D1168C" w:rsidRPr="00BB068B" w:rsidRDefault="00D1168C" w:rsidP="00586B88">
            <w:pPr>
              <w:widowControl/>
              <w:adjustRightInd/>
              <w:spacing w:after="120" w:line="260" w:lineRule="atLeast"/>
              <w:jc w:val="center"/>
              <w:rPr>
                <w:rFonts w:cs="Arial"/>
                <w:lang w:eastAsia="de-DE"/>
              </w:rPr>
            </w:pPr>
          </w:p>
          <w:p w14:paraId="50BF9900" w14:textId="77777777" w:rsidR="00D1168C" w:rsidRPr="00BB068B" w:rsidRDefault="00D1168C" w:rsidP="00586B88">
            <w:pPr>
              <w:rPr>
                <w:rFonts w:cs="Arial"/>
                <w:lang w:eastAsia="de-DE"/>
              </w:rPr>
            </w:pPr>
          </w:p>
        </w:tc>
      </w:tr>
      <w:tr w:rsidR="00D1168C" w:rsidRPr="00813A55" w14:paraId="6E58DFBE" w14:textId="77777777" w:rsidTr="00586B88">
        <w:trPr>
          <w:trHeight w:val="20"/>
        </w:trPr>
        <w:tc>
          <w:tcPr>
            <w:tcW w:w="9639" w:type="dxa"/>
          </w:tcPr>
          <w:p w14:paraId="5B158162" w14:textId="77777777" w:rsidR="00D1168C" w:rsidRPr="00BB068B" w:rsidRDefault="00BB068B" w:rsidP="00586B88">
            <w:pPr>
              <w:jc w:val="center"/>
              <w:rPr>
                <w:rFonts w:cs="Arial"/>
              </w:rPr>
            </w:pPr>
            <w:r w:rsidRPr="00BB068B">
              <w:rPr>
                <w:rFonts w:cs="Arial"/>
              </w:rPr>
              <w:t>TenneT Offshore GmbH</w:t>
            </w:r>
            <w:r w:rsidR="00D1168C" w:rsidRPr="00BB068B">
              <w:rPr>
                <w:rFonts w:cs="Arial"/>
              </w:rPr>
              <w:t>,</w:t>
            </w:r>
          </w:p>
          <w:p w14:paraId="2370EEF7" w14:textId="77777777" w:rsidR="00EF03DE" w:rsidRDefault="00BB068B" w:rsidP="00586B88">
            <w:pPr>
              <w:jc w:val="center"/>
              <w:rPr>
                <w:rFonts w:cs="Arial"/>
              </w:rPr>
            </w:pPr>
            <w:r w:rsidRPr="00BB068B">
              <w:rPr>
                <w:rFonts w:cs="Arial"/>
              </w:rPr>
              <w:t>Bernecker Straße 70</w:t>
            </w:r>
            <w:r w:rsidR="00D1168C" w:rsidRPr="00BB068B">
              <w:rPr>
                <w:rFonts w:cs="Arial"/>
              </w:rPr>
              <w:t>,</w:t>
            </w:r>
          </w:p>
          <w:p w14:paraId="631182FD" w14:textId="5C577D5B" w:rsidR="00D1168C" w:rsidRPr="00BB068B" w:rsidRDefault="00BB068B" w:rsidP="00586B88">
            <w:pPr>
              <w:jc w:val="center"/>
              <w:rPr>
                <w:rFonts w:cs="Arial"/>
              </w:rPr>
            </w:pPr>
            <w:r w:rsidRPr="00BB068B">
              <w:rPr>
                <w:rFonts w:cs="Arial"/>
              </w:rPr>
              <w:t>95448 Bayreuth</w:t>
            </w:r>
            <w:r w:rsidR="00D1168C" w:rsidRPr="00BB068B">
              <w:rPr>
                <w:rFonts w:cs="Arial"/>
              </w:rPr>
              <w:t>,</w:t>
            </w:r>
          </w:p>
          <w:p w14:paraId="31DAFD73" w14:textId="77777777" w:rsidR="00D1168C" w:rsidRPr="00BB068B" w:rsidRDefault="00D1168C" w:rsidP="00586B88">
            <w:pPr>
              <w:jc w:val="center"/>
              <w:rPr>
                <w:rFonts w:cs="Arial"/>
              </w:rPr>
            </w:pPr>
          </w:p>
          <w:p w14:paraId="393A00F1" w14:textId="77777777" w:rsidR="00D1168C" w:rsidRPr="00BB068B" w:rsidRDefault="00D1168C" w:rsidP="00586B88">
            <w:pPr>
              <w:jc w:val="center"/>
              <w:rPr>
                <w:rFonts w:cs="Arial"/>
              </w:rPr>
            </w:pPr>
          </w:p>
          <w:p w14:paraId="0142E111" w14:textId="77777777" w:rsidR="00D1168C" w:rsidRPr="00BB068B" w:rsidRDefault="00D1168C" w:rsidP="00586B88">
            <w:pPr>
              <w:jc w:val="center"/>
              <w:rPr>
                <w:rFonts w:cs="Arial"/>
              </w:rPr>
            </w:pPr>
            <w:r w:rsidRPr="00BB068B">
              <w:rPr>
                <w:rFonts w:cs="Arial"/>
              </w:rPr>
              <w:t>- im Folgenden „TenneT“ genannt -,</w:t>
            </w:r>
          </w:p>
          <w:p w14:paraId="7DC0EF89" w14:textId="77777777" w:rsidR="00D1168C" w:rsidRPr="00BB068B" w:rsidRDefault="00D1168C" w:rsidP="00586B88">
            <w:pPr>
              <w:jc w:val="center"/>
              <w:rPr>
                <w:rFonts w:cs="Arial"/>
              </w:rPr>
            </w:pPr>
          </w:p>
          <w:p w14:paraId="6DB25AF8" w14:textId="77777777" w:rsidR="00D1168C" w:rsidRPr="00BB068B" w:rsidRDefault="00D1168C" w:rsidP="00586B88">
            <w:pPr>
              <w:rPr>
                <w:rFonts w:cs="Arial"/>
                <w:lang w:eastAsia="de-DE"/>
              </w:rPr>
            </w:pPr>
          </w:p>
        </w:tc>
      </w:tr>
      <w:tr w:rsidR="00D1168C" w:rsidRPr="00897DD6" w14:paraId="5B5CE4A1" w14:textId="77777777" w:rsidTr="00586B88">
        <w:trPr>
          <w:trHeight w:val="20"/>
        </w:trPr>
        <w:tc>
          <w:tcPr>
            <w:tcW w:w="9639" w:type="dxa"/>
          </w:tcPr>
          <w:p w14:paraId="628C5B68" w14:textId="77777777" w:rsidR="00D1168C" w:rsidRPr="006F2803" w:rsidRDefault="00D1168C" w:rsidP="00586B88">
            <w:pPr>
              <w:jc w:val="center"/>
              <w:rPr>
                <w:rFonts w:cs="Arial"/>
                <w:lang w:val="en-US"/>
              </w:rPr>
            </w:pPr>
          </w:p>
          <w:p w14:paraId="3D9B8776" w14:textId="77777777" w:rsidR="00D1168C" w:rsidRDefault="00D1168C" w:rsidP="00586B88">
            <w:pPr>
              <w:jc w:val="center"/>
              <w:rPr>
                <w:rFonts w:cs="Arial"/>
              </w:rPr>
            </w:pPr>
            <w:r>
              <w:rPr>
                <w:rFonts w:cs="Arial"/>
              </w:rPr>
              <w:t>u</w:t>
            </w:r>
            <w:r w:rsidRPr="006609C7">
              <w:rPr>
                <w:rFonts w:cs="Arial"/>
              </w:rPr>
              <w:t>nd</w:t>
            </w:r>
          </w:p>
          <w:p w14:paraId="12A89C2D" w14:textId="77777777" w:rsidR="00D1168C" w:rsidRPr="006609C7" w:rsidRDefault="00D1168C" w:rsidP="00586B88">
            <w:pPr>
              <w:jc w:val="center"/>
              <w:rPr>
                <w:rFonts w:cs="Arial"/>
              </w:rPr>
            </w:pPr>
          </w:p>
          <w:p w14:paraId="697C29CF" w14:textId="77777777" w:rsidR="00D1168C" w:rsidRPr="00A752E3" w:rsidRDefault="00D1168C" w:rsidP="00586B88">
            <w:pPr>
              <w:rPr>
                <w:rFonts w:cs="Arial"/>
                <w:lang w:eastAsia="de-DE"/>
              </w:rPr>
            </w:pPr>
          </w:p>
        </w:tc>
      </w:tr>
      <w:tr w:rsidR="00D1168C" w:rsidRPr="00B3320D" w14:paraId="7B3D503B" w14:textId="77777777" w:rsidTr="00586B88">
        <w:trPr>
          <w:trHeight w:val="20"/>
        </w:trPr>
        <w:tc>
          <w:tcPr>
            <w:tcW w:w="9639" w:type="dxa"/>
          </w:tcPr>
          <w:p w14:paraId="15BBED0D" w14:textId="77777777" w:rsidR="00D1168C" w:rsidRPr="0028690A" w:rsidRDefault="00D1168C" w:rsidP="00586B88">
            <w:pPr>
              <w:jc w:val="center"/>
              <w:rPr>
                <w:rFonts w:cs="Arial"/>
                <w:highlight w:val="yellow"/>
              </w:rPr>
            </w:pPr>
            <w:permStart w:id="1023246129" w:edGrp="everyone"/>
            <w:r w:rsidRPr="0028690A">
              <w:rPr>
                <w:rFonts w:cs="Arial"/>
                <w:highlight w:val="yellow"/>
              </w:rPr>
              <w:t>Name des Unternehmens,</w:t>
            </w:r>
          </w:p>
          <w:p w14:paraId="6581C929" w14:textId="77777777" w:rsidR="00D1168C" w:rsidRPr="0028690A" w:rsidRDefault="00D1168C" w:rsidP="00586B88">
            <w:pPr>
              <w:jc w:val="center"/>
              <w:rPr>
                <w:rFonts w:cs="Arial"/>
              </w:rPr>
            </w:pPr>
            <w:r w:rsidRPr="0028690A">
              <w:rPr>
                <w:rFonts w:cs="Arial"/>
                <w:highlight w:val="yellow"/>
              </w:rPr>
              <w:t>Straße und Hausnummer, PLZ und Ort</w:t>
            </w:r>
            <w:permEnd w:id="1023246129"/>
            <w:r w:rsidRPr="0028690A">
              <w:rPr>
                <w:rFonts w:cs="Arial"/>
                <w:highlight w:val="yellow"/>
              </w:rPr>
              <w:t>,</w:t>
            </w:r>
            <w:r w:rsidRPr="0028690A">
              <w:rPr>
                <w:rFonts w:cs="Arial"/>
              </w:rPr>
              <w:t xml:space="preserve"> </w:t>
            </w:r>
          </w:p>
          <w:p w14:paraId="3F0F2800" w14:textId="77777777" w:rsidR="00D1168C" w:rsidRPr="0028690A" w:rsidRDefault="00D1168C" w:rsidP="00586B88">
            <w:pPr>
              <w:jc w:val="center"/>
              <w:rPr>
                <w:rFonts w:cs="Arial"/>
              </w:rPr>
            </w:pPr>
          </w:p>
          <w:p w14:paraId="437E5660" w14:textId="77777777" w:rsidR="00D1168C" w:rsidRPr="0028690A" w:rsidRDefault="00D1168C" w:rsidP="00586B88">
            <w:pPr>
              <w:jc w:val="center"/>
              <w:rPr>
                <w:rFonts w:cs="Arial"/>
              </w:rPr>
            </w:pPr>
          </w:p>
          <w:p w14:paraId="60C47A90" w14:textId="77777777" w:rsidR="00D1168C" w:rsidRPr="0028690A" w:rsidRDefault="00D1168C" w:rsidP="00586B88">
            <w:pPr>
              <w:jc w:val="center"/>
              <w:rPr>
                <w:rFonts w:cs="Arial"/>
              </w:rPr>
            </w:pPr>
          </w:p>
          <w:p w14:paraId="6C9ED069" w14:textId="77777777" w:rsidR="00D1168C" w:rsidRPr="0028690A" w:rsidRDefault="00D1168C" w:rsidP="00586B88">
            <w:pPr>
              <w:jc w:val="center"/>
              <w:rPr>
                <w:rFonts w:cs="Arial"/>
              </w:rPr>
            </w:pPr>
            <w:r w:rsidRPr="0028690A">
              <w:rPr>
                <w:rFonts w:cs="Arial"/>
              </w:rPr>
              <w:t xml:space="preserve">– im Folgenden </w:t>
            </w:r>
            <w:permStart w:id="1156144269" w:edGrp="everyone"/>
            <w:r w:rsidRPr="0028690A">
              <w:rPr>
                <w:rFonts w:cs="Arial"/>
                <w:highlight w:val="yellow"/>
              </w:rPr>
              <w:t>„……“</w:t>
            </w:r>
            <w:permEnd w:id="1156144269"/>
            <w:r w:rsidRPr="0028690A">
              <w:rPr>
                <w:rFonts w:cs="Arial"/>
              </w:rPr>
              <w:t xml:space="preserve"> oder </w:t>
            </w:r>
            <w:r w:rsidRPr="0028690A">
              <w:rPr>
                <w:rFonts w:cs="Arial"/>
              </w:rPr>
              <w:br/>
              <w:t>„Empfangende Partei“ genannt –,</w:t>
            </w:r>
          </w:p>
          <w:p w14:paraId="23AE2DC7" w14:textId="77777777" w:rsidR="00D1168C" w:rsidRPr="0028690A" w:rsidRDefault="00D1168C" w:rsidP="00586B88">
            <w:pPr>
              <w:jc w:val="center"/>
              <w:rPr>
                <w:rFonts w:cs="Arial"/>
                <w:sz w:val="22"/>
                <w:szCs w:val="22"/>
              </w:rPr>
            </w:pPr>
          </w:p>
          <w:p w14:paraId="6C1EF8D7" w14:textId="77777777" w:rsidR="00D1168C" w:rsidRPr="0028690A" w:rsidRDefault="00D1168C" w:rsidP="00586B88">
            <w:pPr>
              <w:jc w:val="center"/>
              <w:rPr>
                <w:rFonts w:cs="Arial"/>
                <w:sz w:val="22"/>
                <w:szCs w:val="22"/>
              </w:rPr>
            </w:pPr>
          </w:p>
        </w:tc>
      </w:tr>
      <w:tr w:rsidR="00D1168C" w:rsidRPr="00D60F65" w14:paraId="5757CF1B" w14:textId="77777777" w:rsidTr="00586B88">
        <w:trPr>
          <w:trHeight w:val="20"/>
        </w:trPr>
        <w:tc>
          <w:tcPr>
            <w:tcW w:w="9639" w:type="dxa"/>
          </w:tcPr>
          <w:p w14:paraId="7A3BD8A6" w14:textId="77777777" w:rsidR="00D1168C" w:rsidRPr="00B3320D" w:rsidRDefault="00D1168C" w:rsidP="00586B88">
            <w:pPr>
              <w:spacing w:line="240" w:lineRule="atLeast"/>
              <w:jc w:val="center"/>
              <w:rPr>
                <w:rFonts w:cs="Arial"/>
              </w:rPr>
            </w:pPr>
          </w:p>
          <w:p w14:paraId="64F343D3" w14:textId="77777777" w:rsidR="00D1168C" w:rsidRPr="00B3320D" w:rsidRDefault="00D1168C" w:rsidP="00586B88">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637DE8AA" w14:textId="77777777" w:rsidR="00D1168C" w:rsidRPr="00B3320D" w:rsidRDefault="00D1168C" w:rsidP="00586B88">
            <w:pPr>
              <w:spacing w:line="240" w:lineRule="atLeast"/>
              <w:jc w:val="center"/>
              <w:rPr>
                <w:rFonts w:cs="Arial"/>
              </w:rPr>
            </w:pPr>
          </w:p>
          <w:p w14:paraId="7053BAFD" w14:textId="77777777" w:rsidR="00D1168C" w:rsidRDefault="00D1168C" w:rsidP="00586B88">
            <w:pPr>
              <w:spacing w:line="240" w:lineRule="atLeast"/>
              <w:jc w:val="center"/>
              <w:rPr>
                <w:rFonts w:cs="Arial"/>
                <w:sz w:val="22"/>
                <w:szCs w:val="22"/>
              </w:rPr>
            </w:pPr>
          </w:p>
          <w:p w14:paraId="57397811" w14:textId="77777777" w:rsidR="00D1168C" w:rsidRPr="00D60F65" w:rsidRDefault="00D1168C" w:rsidP="00586B88">
            <w:pPr>
              <w:spacing w:line="240" w:lineRule="atLeast"/>
              <w:jc w:val="center"/>
              <w:rPr>
                <w:rFonts w:cs="Arial"/>
                <w:sz w:val="22"/>
                <w:szCs w:val="22"/>
              </w:rPr>
            </w:pPr>
          </w:p>
          <w:p w14:paraId="52BFFD44" w14:textId="77777777" w:rsidR="00D1168C" w:rsidRPr="00D60F65" w:rsidRDefault="00D1168C" w:rsidP="00586B88">
            <w:pPr>
              <w:rPr>
                <w:rFonts w:cs="Arial"/>
                <w:sz w:val="22"/>
                <w:szCs w:val="22"/>
              </w:rPr>
            </w:pPr>
          </w:p>
          <w:p w14:paraId="2A63F26B" w14:textId="77777777" w:rsidR="00D1168C" w:rsidRPr="00D60F65" w:rsidRDefault="00D1168C" w:rsidP="00586B88">
            <w:pPr>
              <w:pStyle w:val="Paragraph"/>
              <w:spacing w:before="0" w:after="0"/>
              <w:ind w:left="0" w:right="268" w:firstLine="0"/>
              <w:rPr>
                <w:rFonts w:cs="Arial"/>
                <w:szCs w:val="22"/>
              </w:rPr>
            </w:pPr>
          </w:p>
        </w:tc>
      </w:tr>
    </w:tbl>
    <w:p w14:paraId="5EB12FA6" w14:textId="77777777" w:rsidR="00DA6AA1" w:rsidRDefault="00DA6AA1">
      <w:r>
        <w:rPr>
          <w:b/>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D60F65" w14:paraId="1A767E81" w14:textId="77777777" w:rsidTr="00586B88">
        <w:trPr>
          <w:trHeight w:val="20"/>
        </w:trPr>
        <w:tc>
          <w:tcPr>
            <w:tcW w:w="9639" w:type="dxa"/>
          </w:tcPr>
          <w:p w14:paraId="4E7DE246" w14:textId="77777777" w:rsidR="00D1168C" w:rsidRDefault="00D1168C" w:rsidP="00586B88">
            <w:pPr>
              <w:pStyle w:val="Paragraph"/>
              <w:spacing w:before="0" w:after="0"/>
              <w:ind w:left="0" w:right="268" w:firstLine="0"/>
              <w:rPr>
                <w:rFonts w:ascii="Arial" w:hAnsi="Arial" w:cs="Arial"/>
                <w:szCs w:val="22"/>
              </w:rPr>
            </w:pPr>
          </w:p>
          <w:p w14:paraId="4E5E71A5" w14:textId="77777777" w:rsidR="00D1168C" w:rsidRPr="00D60F65" w:rsidRDefault="00D1168C" w:rsidP="00586B88">
            <w:pPr>
              <w:pStyle w:val="Paragraph"/>
              <w:spacing w:before="0" w:after="0"/>
              <w:ind w:left="0" w:right="268" w:firstLine="0"/>
              <w:rPr>
                <w:rFonts w:ascii="Arial" w:hAnsi="Arial" w:cs="Arial"/>
                <w:szCs w:val="22"/>
              </w:rPr>
            </w:pPr>
            <w:r w:rsidRPr="00D60F65">
              <w:rPr>
                <w:rFonts w:ascii="Arial" w:hAnsi="Arial" w:cs="Arial"/>
                <w:szCs w:val="22"/>
              </w:rPr>
              <w:t>Präambel</w:t>
            </w:r>
          </w:p>
          <w:p w14:paraId="183A9518" w14:textId="77777777" w:rsidR="00D1168C" w:rsidRPr="00B3320D" w:rsidRDefault="00D1168C" w:rsidP="001C69E1">
            <w:pPr>
              <w:spacing w:line="240" w:lineRule="atLeast"/>
              <w:rPr>
                <w:rFonts w:cs="Arial"/>
              </w:rPr>
            </w:pPr>
          </w:p>
        </w:tc>
      </w:tr>
      <w:tr w:rsidR="00D1168C" w:rsidRPr="00F66DEF" w14:paraId="7F45BFDF" w14:textId="77777777" w:rsidTr="00586B88">
        <w:trPr>
          <w:trHeight w:val="20"/>
        </w:trPr>
        <w:tc>
          <w:tcPr>
            <w:tcW w:w="9639" w:type="dxa"/>
          </w:tcPr>
          <w:p w14:paraId="4EDFEAF6" w14:textId="77777777" w:rsidR="00D1168C" w:rsidRPr="00A752E3" w:rsidRDefault="00D1168C" w:rsidP="00BB068B">
            <w:pPr>
              <w:pStyle w:val="Abstze"/>
              <w:numPr>
                <w:ilvl w:val="0"/>
                <w:numId w:val="0"/>
              </w:numPr>
              <w:spacing w:after="0"/>
              <w:ind w:left="567" w:right="-17"/>
              <w:rPr>
                <w:rFonts w:cs="Arial"/>
              </w:rPr>
            </w:pPr>
          </w:p>
        </w:tc>
      </w:tr>
      <w:tr w:rsidR="00D1168C" w:rsidRPr="00813A55" w14:paraId="47291AE4" w14:textId="77777777" w:rsidTr="00586B88">
        <w:trPr>
          <w:trHeight w:val="20"/>
        </w:trPr>
        <w:tc>
          <w:tcPr>
            <w:tcW w:w="9639" w:type="dxa"/>
          </w:tcPr>
          <w:p w14:paraId="31DECC6B" w14:textId="77777777" w:rsidR="007570B6" w:rsidRPr="00BB068B" w:rsidRDefault="00BB068B" w:rsidP="001C69E1">
            <w:pPr>
              <w:pStyle w:val="Listenabsatz"/>
              <w:numPr>
                <w:ilvl w:val="0"/>
                <w:numId w:val="8"/>
              </w:numPr>
              <w:tabs>
                <w:tab w:val="clear" w:pos="851"/>
                <w:tab w:val="num" w:pos="567"/>
              </w:tabs>
              <w:spacing w:after="0"/>
              <w:ind w:left="567" w:right="-17"/>
              <w:rPr>
                <w:rFonts w:ascii="Arial" w:hAnsi="Arial" w:cs="Arial"/>
                <w:vanish/>
                <w:szCs w:val="20"/>
              </w:rPr>
            </w:pPr>
            <w:r>
              <w:rPr>
                <w:rFonts w:ascii="Arial" w:hAnsi="Arial" w:cs="Arial"/>
                <w:szCs w:val="20"/>
              </w:rPr>
              <w:t xml:space="preserve">TenneT hat fünf Rahmenverträge über verschiedene Prüfdienstleistungen EU-weit ausgeschrieben </w:t>
            </w:r>
            <w:r w:rsidRPr="006609C7">
              <w:rPr>
                <w:rFonts w:ascii="Arial" w:hAnsi="Arial" w:cs="Arial"/>
                <w:szCs w:val="20"/>
              </w:rPr>
              <w:t xml:space="preserve"> (nachfolgend "Projekt" genannt)</w:t>
            </w:r>
            <w:r>
              <w:rPr>
                <w:rFonts w:ascii="Arial" w:hAnsi="Arial" w:cs="Arial"/>
                <w:szCs w:val="20"/>
              </w:rPr>
              <w:t>. Für dieses Projekt müssen den Bewerbern und Bietern im Zuge des Vergabeverfahrens und damit bereits vor einer möglichen Beauftragung Informationen</w:t>
            </w:r>
            <w:r w:rsidRPr="006609C7">
              <w:rPr>
                <w:rFonts w:ascii="Arial" w:hAnsi="Arial" w:cs="Arial"/>
                <w:szCs w:val="20"/>
              </w:rPr>
              <w:t xml:space="preserve"> </w:t>
            </w:r>
            <w:r>
              <w:rPr>
                <w:rFonts w:ascii="Arial" w:hAnsi="Arial" w:cs="Arial"/>
                <w:szCs w:val="20"/>
              </w:rPr>
              <w:t>zur Verfügung gestellt werden, um die Beteiligung am Vergabeverfahren, insbesondere die Erstellung von Teilnahmeanträgen und Angeboten, durch die Bewerber und Bieter zu ermöglichen (nachfolgend „Zweck“) genannt). Die Ausschreibungsunterlagen enthalten vertrauliche Informationen, die der empfangenden Partei aus Gründen des Geheimnisschutzes nur nach Unterzeichnung dieser Vereinbarung übermittelt/freigeschaltet werden können. Zusätzlich wird im Rahmen des Vergabeverfahrens eine Vielzahl weiterer Informationen zur Verfügung gestellt, unter anderem Informationen technischer/wirtschaftlicher Art und sensible Daten Dritter, die ebenfalls vertraulich zu behandeln sind.</w:t>
            </w:r>
          </w:p>
          <w:p w14:paraId="4B54E8D5" w14:textId="77777777" w:rsidR="00BB068B" w:rsidRPr="007570B6" w:rsidRDefault="00BB068B" w:rsidP="00BB068B">
            <w:pPr>
              <w:pStyle w:val="Listenabsatz"/>
              <w:spacing w:after="0"/>
              <w:ind w:left="567" w:right="-17"/>
              <w:rPr>
                <w:rFonts w:ascii="Arial" w:hAnsi="Arial" w:cs="Arial"/>
                <w:vanish/>
                <w:szCs w:val="20"/>
              </w:rPr>
            </w:pPr>
          </w:p>
          <w:p w14:paraId="1375038E" w14:textId="77777777" w:rsidR="00D1168C" w:rsidRPr="005D55EF" w:rsidRDefault="00D1168C" w:rsidP="001C69E1">
            <w:pPr>
              <w:pStyle w:val="Abstze"/>
              <w:numPr>
                <w:ilvl w:val="0"/>
                <w:numId w:val="8"/>
              </w:numPr>
              <w:tabs>
                <w:tab w:val="clear" w:pos="851"/>
                <w:tab w:val="num" w:pos="567"/>
              </w:tabs>
              <w:spacing w:after="0"/>
              <w:ind w:left="567" w:right="-17"/>
              <w:rPr>
                <w:rFonts w:cs="Arial"/>
              </w:rPr>
            </w:pPr>
            <w:r>
              <w:rPr>
                <w:rFonts w:ascii="Arial" w:hAnsi="Arial" w:cs="Arial"/>
                <w:szCs w:val="20"/>
              </w:rPr>
              <w:t xml:space="preserve">TenneT ist </w:t>
            </w:r>
            <w:r w:rsidRPr="006609C7">
              <w:rPr>
                <w:rFonts w:ascii="Arial" w:hAnsi="Arial" w:cs="Arial"/>
                <w:szCs w:val="20"/>
              </w:rPr>
              <w:t xml:space="preserve"> jedoch nur unter der Voraussetzung, dass die Informationen von </w:t>
            </w:r>
            <w:r>
              <w:rPr>
                <w:rFonts w:ascii="Arial" w:hAnsi="Arial" w:cs="Arial"/>
                <w:szCs w:val="20"/>
              </w:rPr>
              <w:t xml:space="preserve">der Empfangenden Partei </w:t>
            </w:r>
            <w:r w:rsidRPr="006609C7">
              <w:rPr>
                <w:rFonts w:ascii="Arial" w:hAnsi="Arial" w:cs="Arial"/>
                <w:szCs w:val="20"/>
              </w:rPr>
              <w:t xml:space="preserve">als vertraulich anerkannt und behandelt werden, </w:t>
            </w:r>
            <w:r>
              <w:rPr>
                <w:rFonts w:ascii="Arial" w:hAnsi="Arial" w:cs="Arial"/>
                <w:szCs w:val="20"/>
              </w:rPr>
              <w:t xml:space="preserve">bereit, </w:t>
            </w:r>
            <w:r w:rsidRPr="006609C7">
              <w:rPr>
                <w:rFonts w:ascii="Arial" w:hAnsi="Arial" w:cs="Arial"/>
                <w:szCs w:val="20"/>
              </w:rPr>
              <w:t>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0B161FB4" w14:textId="77777777" w:rsidR="00D1168C" w:rsidRDefault="00D1168C" w:rsidP="001C69E1">
            <w:pPr>
              <w:spacing w:line="240" w:lineRule="atLeast"/>
              <w:jc w:val="both"/>
              <w:rPr>
                <w:rFonts w:cs="Arial"/>
                <w:lang w:eastAsia="de-DE"/>
              </w:rPr>
            </w:pPr>
          </w:p>
          <w:p w14:paraId="6ACAE9F2" w14:textId="77777777" w:rsidR="00D1168C" w:rsidRDefault="00D1168C" w:rsidP="001C69E1">
            <w:pPr>
              <w:spacing w:line="240" w:lineRule="atLeast"/>
              <w:jc w:val="both"/>
            </w:pPr>
            <w:r w:rsidRPr="00AE508C">
              <w:t>Vor diesem Hintergrund schließen die Parteien folgende Geheimhaltungsvereinbarung:</w:t>
            </w:r>
          </w:p>
          <w:p w14:paraId="057DD38A" w14:textId="77777777" w:rsidR="00D1168C" w:rsidRPr="00A752E3" w:rsidRDefault="00D1168C" w:rsidP="001C69E1">
            <w:pPr>
              <w:jc w:val="both"/>
              <w:rPr>
                <w:rFonts w:cs="Arial"/>
                <w:lang w:eastAsia="de-DE"/>
              </w:rPr>
            </w:pPr>
          </w:p>
        </w:tc>
      </w:tr>
      <w:tr w:rsidR="00D1168C" w:rsidRPr="00D60F65" w14:paraId="0E186018" w14:textId="77777777" w:rsidTr="00586B88">
        <w:trPr>
          <w:trHeight w:val="20"/>
        </w:trPr>
        <w:tc>
          <w:tcPr>
            <w:tcW w:w="9639" w:type="dxa"/>
          </w:tcPr>
          <w:p w14:paraId="0EF97ACB" w14:textId="77777777" w:rsidR="00D1168C" w:rsidRPr="0028690A" w:rsidRDefault="00D1168C" w:rsidP="00586B88">
            <w:pPr>
              <w:pStyle w:val="Paragraph"/>
              <w:spacing w:before="0" w:after="0"/>
              <w:ind w:left="0" w:right="266" w:firstLine="0"/>
              <w:rPr>
                <w:rFonts w:ascii="Arial" w:hAnsi="Arial" w:cs="Arial"/>
                <w:szCs w:val="22"/>
              </w:rPr>
            </w:pPr>
          </w:p>
          <w:p w14:paraId="13E868AF" w14:textId="77777777" w:rsidR="00D1168C" w:rsidRPr="00D60F65" w:rsidRDefault="00D1168C" w:rsidP="00586B88">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5604B81F" w14:textId="77777777" w:rsidR="00D1168C" w:rsidRPr="00D60F65" w:rsidRDefault="00D1168C" w:rsidP="00586B88">
            <w:pPr>
              <w:rPr>
                <w:rFonts w:cs="Arial"/>
                <w:sz w:val="22"/>
                <w:szCs w:val="22"/>
                <w:lang w:eastAsia="de-DE"/>
              </w:rPr>
            </w:pPr>
          </w:p>
        </w:tc>
      </w:tr>
      <w:tr w:rsidR="00D1168C" w:rsidRPr="0031026E" w14:paraId="0EA6C52C" w14:textId="77777777" w:rsidTr="00586B88">
        <w:trPr>
          <w:trHeight w:val="20"/>
        </w:trPr>
        <w:tc>
          <w:tcPr>
            <w:tcW w:w="9639" w:type="dxa"/>
          </w:tcPr>
          <w:p w14:paraId="582B4299" w14:textId="77777777" w:rsidR="00D1168C" w:rsidRPr="00A752E3" w:rsidRDefault="00D1168C" w:rsidP="00F00A00">
            <w:pPr>
              <w:widowControl/>
              <w:suppressAutoHyphens/>
              <w:adjustRightInd/>
              <w:spacing w:line="260" w:lineRule="atLeast"/>
              <w:ind w:left="567"/>
              <w:jc w:val="both"/>
              <w:rPr>
                <w:rFonts w:cs="Arial"/>
                <w:lang w:eastAsia="de-DE"/>
              </w:rPr>
            </w:pPr>
          </w:p>
        </w:tc>
      </w:tr>
      <w:tr w:rsidR="00D1168C" w:rsidRPr="0031026E" w14:paraId="6B29674F" w14:textId="77777777" w:rsidTr="00586B88">
        <w:trPr>
          <w:trHeight w:val="20"/>
        </w:trPr>
        <w:tc>
          <w:tcPr>
            <w:tcW w:w="9639" w:type="dxa"/>
          </w:tcPr>
          <w:p w14:paraId="2EE6D771" w14:textId="77777777" w:rsidR="00F00A00" w:rsidRDefault="00F00A00" w:rsidP="00F00A00">
            <w:pPr>
              <w:widowControl/>
              <w:numPr>
                <w:ilvl w:val="0"/>
                <w:numId w:val="9"/>
              </w:numPr>
              <w:suppressAutoHyphens/>
              <w:adjustRightInd/>
              <w:spacing w:line="260" w:lineRule="atLeast"/>
              <w:ind w:left="709" w:hanging="720"/>
              <w:jc w:val="both"/>
              <w:rPr>
                <w:rFonts w:cs="Arial"/>
                <w:lang w:eastAsia="de-DE"/>
              </w:rPr>
            </w:pPr>
            <w:r w:rsidRPr="00BC7367">
              <w:rPr>
                <w:rFonts w:cs="Arial"/>
              </w:rPr>
              <w:t xml:space="preserve">Vertrauliche Informationen im Sinne dieser Vereinbarung sind sämtliche Aufzeichnungen, Dokumente, Namen und Daten </w:t>
            </w:r>
            <w:r>
              <w:rPr>
                <w:rFonts w:cs="Arial"/>
              </w:rPr>
              <w:t>sowie</w:t>
            </w:r>
            <w:r w:rsidRPr="00BC7367">
              <w:rPr>
                <w:rFonts w:cs="Arial"/>
              </w:rPr>
              <w:t xml:space="preserve"> andere wirtschaftliche, betriebsbezogene, finanzielle oder technische und/oder anderweitig aus wettbewerblicher Sicht sensible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Entwicklungsleistun</w:t>
            </w:r>
            <w:r w:rsidRPr="00BC7367">
              <w:rPr>
                <w:rFonts w:cs="Arial"/>
              </w:rPr>
              <w:t>gen oder -verfahren, Betriebs- und Geschäftsgeheimnisse, Personalinformationen</w:t>
            </w:r>
            <w:r>
              <w:rPr>
                <w:rFonts w:cs="Arial"/>
              </w:rPr>
              <w:t xml:space="preserve"> </w:t>
            </w:r>
            <w:r w:rsidRPr="00F2204B">
              <w:rPr>
                <w:rFonts w:cs="Arial"/>
              </w:rPr>
              <w:t>von TenneT und</w:t>
            </w:r>
            <w:r>
              <w:rPr>
                <w:rFonts w:cs="Arial"/>
              </w:rPr>
              <w:t xml:space="preserve"> </w:t>
            </w:r>
            <w:r w:rsidRPr="00F2204B">
              <w:rPr>
                <w:rFonts w:cs="Arial"/>
              </w:rPr>
              <w:t>/</w:t>
            </w:r>
            <w:r>
              <w:rPr>
                <w:rFonts w:cs="Arial"/>
              </w:rPr>
              <w:t xml:space="preserve"> </w:t>
            </w:r>
            <w:r w:rsidRPr="00F2204B">
              <w:rPr>
                <w:rFonts w:cs="Arial"/>
              </w:rPr>
              <w:t>oder TenneT betreffende Daten, einschließlich Informationen über Niederlassungen und Tochtergesellschaften von TenneT, unabhängig davon, ob diese Informationen schriftlich, mündlich, visuell oder anderweitig weitergegeben wurden.</w:t>
            </w:r>
          </w:p>
          <w:p w14:paraId="68E3D534" w14:textId="77777777" w:rsidR="007570B6" w:rsidRPr="007570B6" w:rsidRDefault="007570B6" w:rsidP="00F00A00">
            <w:pPr>
              <w:pStyle w:val="Listenabsatz"/>
              <w:suppressAutoHyphens/>
              <w:spacing w:after="0"/>
              <w:ind w:left="709" w:hanging="720"/>
              <w:rPr>
                <w:rFonts w:ascii="Arial" w:hAnsi="Arial" w:cs="Arial"/>
                <w:vanish/>
                <w:szCs w:val="20"/>
                <w:lang w:eastAsia="nl-NL"/>
              </w:rPr>
            </w:pPr>
          </w:p>
          <w:p w14:paraId="07770CDA" w14:textId="77777777" w:rsidR="00D1168C" w:rsidRDefault="00D1168C" w:rsidP="00F00A00">
            <w:pPr>
              <w:widowControl/>
              <w:numPr>
                <w:ilvl w:val="0"/>
                <w:numId w:val="9"/>
              </w:numPr>
              <w:suppressAutoHyphens/>
              <w:adjustRightInd/>
              <w:spacing w:line="260" w:lineRule="atLeast"/>
              <w:ind w:left="709" w:hanging="720"/>
              <w:jc w:val="both"/>
              <w:rPr>
                <w:rFonts w:cs="Arial"/>
                <w:lang w:eastAsia="de-DE"/>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Vertrauliche In</w:t>
            </w:r>
            <w:r>
              <w:rPr>
                <w:rFonts w:cs="Arial"/>
              </w:rPr>
              <w:t>formationen im Sinne des Absatz </w:t>
            </w:r>
            <w:r w:rsidRPr="00BC7367">
              <w:rPr>
                <w:rFonts w:cs="Arial"/>
              </w:rPr>
              <w:t>1 und unterfallen ebenfalls den Regelungen dieser Vereinbarung.</w:t>
            </w:r>
          </w:p>
          <w:p w14:paraId="7D34BC51" w14:textId="77777777" w:rsidR="001C69E1" w:rsidRPr="00A752E3" w:rsidRDefault="001C69E1" w:rsidP="00F00A00">
            <w:pPr>
              <w:widowControl/>
              <w:suppressAutoHyphens/>
              <w:adjustRightInd/>
              <w:spacing w:line="260" w:lineRule="atLeast"/>
              <w:ind w:left="709" w:hanging="720"/>
              <w:rPr>
                <w:rFonts w:cs="Arial"/>
                <w:lang w:eastAsia="de-DE"/>
              </w:rPr>
            </w:pPr>
          </w:p>
        </w:tc>
      </w:tr>
      <w:tr w:rsidR="00D1168C" w:rsidRPr="005574B1" w14:paraId="343B4013" w14:textId="77777777" w:rsidTr="00586B88">
        <w:trPr>
          <w:trHeight w:val="20"/>
        </w:trPr>
        <w:tc>
          <w:tcPr>
            <w:tcW w:w="9639" w:type="dxa"/>
          </w:tcPr>
          <w:p w14:paraId="2E6D3384" w14:textId="77777777" w:rsidR="00D1168C" w:rsidRPr="0028690A" w:rsidRDefault="00D1168C" w:rsidP="00586B88">
            <w:pPr>
              <w:spacing w:line="260" w:lineRule="atLeast"/>
              <w:jc w:val="center"/>
              <w:rPr>
                <w:rFonts w:cs="Arial"/>
                <w:b/>
                <w:sz w:val="22"/>
                <w:szCs w:val="22"/>
              </w:rPr>
            </w:pPr>
          </w:p>
          <w:p w14:paraId="2E5E257F" w14:textId="77777777" w:rsidR="00D1168C" w:rsidRPr="00D60F65" w:rsidRDefault="00D1168C" w:rsidP="00586B88">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6CD14B1B" w14:textId="77777777" w:rsidR="00D1168C" w:rsidRPr="00D60F65" w:rsidRDefault="00D1168C" w:rsidP="00586B88">
            <w:pPr>
              <w:spacing w:line="260" w:lineRule="atLeast"/>
              <w:rPr>
                <w:rFonts w:cs="Arial"/>
                <w:sz w:val="22"/>
                <w:szCs w:val="22"/>
                <w:lang w:eastAsia="de-DE"/>
              </w:rPr>
            </w:pPr>
          </w:p>
        </w:tc>
      </w:tr>
      <w:tr w:rsidR="00D1168C" w:rsidRPr="0031026E" w14:paraId="3229B6F2" w14:textId="77777777" w:rsidTr="00586B88">
        <w:trPr>
          <w:trHeight w:val="20"/>
        </w:trPr>
        <w:tc>
          <w:tcPr>
            <w:tcW w:w="9639" w:type="dxa"/>
          </w:tcPr>
          <w:p w14:paraId="6015D6B7" w14:textId="77777777" w:rsidR="00D1168C" w:rsidRPr="009E1EDF" w:rsidRDefault="00D1168C" w:rsidP="001C69E1">
            <w:pPr>
              <w:pStyle w:val="Listenabsatz"/>
              <w:numPr>
                <w:ilvl w:val="0"/>
                <w:numId w:val="3"/>
              </w:numPr>
              <w:spacing w:after="0"/>
              <w:ind w:left="567" w:hanging="567"/>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40DB2510" w14:textId="77777777" w:rsidR="00D1168C" w:rsidRPr="00A752E3" w:rsidRDefault="00D1168C" w:rsidP="001C69E1">
            <w:pPr>
              <w:spacing w:line="260" w:lineRule="atLeast"/>
              <w:jc w:val="both"/>
              <w:rPr>
                <w:rFonts w:cs="Arial"/>
                <w:lang w:eastAsia="de-DE"/>
              </w:rPr>
            </w:pPr>
          </w:p>
        </w:tc>
      </w:tr>
      <w:tr w:rsidR="00D1168C" w:rsidRPr="0031026E" w14:paraId="65AF77E4" w14:textId="77777777" w:rsidTr="00586B88">
        <w:trPr>
          <w:trHeight w:val="20"/>
        </w:trPr>
        <w:tc>
          <w:tcPr>
            <w:tcW w:w="9639" w:type="dxa"/>
          </w:tcPr>
          <w:p w14:paraId="055C3D7B" w14:textId="77777777" w:rsidR="00D1168C" w:rsidRPr="00F25BC1" w:rsidRDefault="00D1168C" w:rsidP="001C69E1">
            <w:pPr>
              <w:pStyle w:val="Listenabsatz"/>
              <w:numPr>
                <w:ilvl w:val="0"/>
                <w:numId w:val="3"/>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3EAF49D0" w14:textId="77777777" w:rsidR="00D1168C" w:rsidRPr="006609C7" w:rsidRDefault="00D1168C" w:rsidP="001C69E1">
            <w:pPr>
              <w:pStyle w:val="Abstze"/>
              <w:numPr>
                <w:ilvl w:val="0"/>
                <w:numId w:val="0"/>
              </w:numPr>
              <w:spacing w:after="0"/>
              <w:rPr>
                <w:rFonts w:ascii="Arial" w:hAnsi="Arial" w:cs="Arial"/>
                <w:szCs w:val="20"/>
              </w:rPr>
            </w:pPr>
          </w:p>
        </w:tc>
      </w:tr>
      <w:tr w:rsidR="00D1168C" w:rsidRPr="0031026E" w14:paraId="2EFF0588" w14:textId="77777777" w:rsidTr="00586B88">
        <w:trPr>
          <w:trHeight w:val="20"/>
        </w:trPr>
        <w:tc>
          <w:tcPr>
            <w:tcW w:w="9639" w:type="dxa"/>
          </w:tcPr>
          <w:p w14:paraId="17976309" w14:textId="77777777" w:rsidR="00D1168C" w:rsidRPr="00BC1CAE"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25BF17C1" w14:textId="77777777" w:rsidR="00D1168C" w:rsidRPr="00A752E3" w:rsidRDefault="00D1168C" w:rsidP="001C69E1">
            <w:pPr>
              <w:jc w:val="both"/>
              <w:rPr>
                <w:rFonts w:cs="Arial"/>
                <w:lang w:eastAsia="de-DE"/>
              </w:rPr>
            </w:pPr>
          </w:p>
        </w:tc>
      </w:tr>
      <w:tr w:rsidR="00D1168C" w:rsidRPr="0031026E" w14:paraId="74E8D626" w14:textId="77777777" w:rsidTr="00586B88">
        <w:trPr>
          <w:trHeight w:val="20"/>
        </w:trPr>
        <w:tc>
          <w:tcPr>
            <w:tcW w:w="9639" w:type="dxa"/>
          </w:tcPr>
          <w:p w14:paraId="0883F1A6" w14:textId="77777777" w:rsidR="00D1168C" w:rsidRPr="00BC1CAE" w:rsidRDefault="00D1168C" w:rsidP="001C69E1">
            <w:pPr>
              <w:pStyle w:val="Listenabsatz"/>
              <w:numPr>
                <w:ilvl w:val="0"/>
                <w:numId w:val="2"/>
              </w:numPr>
              <w:spacing w:after="0"/>
              <w:ind w:left="771" w:hanging="357"/>
              <w:rPr>
                <w:rFonts w:ascii="Arial" w:hAnsi="Arial" w:cs="Arial"/>
                <w:szCs w:val="20"/>
              </w:rPr>
            </w:pPr>
            <w:r w:rsidRPr="00B02821">
              <w:rPr>
                <w:rFonts w:ascii="Arial" w:hAnsi="Arial" w:cs="Arial"/>
                <w:szCs w:val="20"/>
              </w:rPr>
              <w:lastRenderedPageBreak/>
              <w:t>die Vertraulichen Informationen nur soweit zu vervielfältigen, wie dies mit dem Vertragszweck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48DA2C78" w14:textId="77777777" w:rsidR="00D1168C" w:rsidRPr="00A752E3" w:rsidRDefault="00D1168C" w:rsidP="001C69E1">
            <w:pPr>
              <w:jc w:val="both"/>
              <w:rPr>
                <w:rFonts w:cs="Arial"/>
                <w:lang w:eastAsia="de-DE"/>
              </w:rPr>
            </w:pPr>
          </w:p>
        </w:tc>
      </w:tr>
      <w:tr w:rsidR="00D1168C" w:rsidRPr="00813A55" w14:paraId="249FA76A" w14:textId="77777777" w:rsidTr="00586B88">
        <w:trPr>
          <w:trHeight w:val="20"/>
        </w:trPr>
        <w:tc>
          <w:tcPr>
            <w:tcW w:w="9639" w:type="dxa"/>
          </w:tcPr>
          <w:p w14:paraId="236C78DA" w14:textId="77777777" w:rsidR="00D1168C" w:rsidRPr="006609C7"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nicht länger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 xml:space="preserve">en Informationen entweder zu vernichten bzw. zu löschen oder der offenlegenden Partei zurückzugeben, </w:t>
            </w:r>
          </w:p>
          <w:p w14:paraId="1364FF37" w14:textId="77777777" w:rsidR="00D1168C" w:rsidRPr="00A752E3" w:rsidRDefault="00D1168C" w:rsidP="001C69E1">
            <w:pPr>
              <w:jc w:val="both"/>
              <w:rPr>
                <w:rFonts w:cs="Arial"/>
                <w:lang w:eastAsia="de-DE"/>
              </w:rPr>
            </w:pPr>
          </w:p>
        </w:tc>
      </w:tr>
      <w:tr w:rsidR="00D1168C" w:rsidRPr="00813A55" w14:paraId="5420CD2F" w14:textId="77777777" w:rsidTr="00586B88">
        <w:trPr>
          <w:trHeight w:val="20"/>
        </w:trPr>
        <w:tc>
          <w:tcPr>
            <w:tcW w:w="9639" w:type="dxa"/>
          </w:tcPr>
          <w:p w14:paraId="1BE65D75" w14:textId="77777777" w:rsidR="00D1168C"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6F9C2413" w14:textId="77777777" w:rsidR="00D1168C" w:rsidRPr="00A752E3" w:rsidRDefault="00D1168C" w:rsidP="001C69E1">
            <w:pPr>
              <w:jc w:val="both"/>
              <w:rPr>
                <w:rFonts w:cs="Arial"/>
                <w:lang w:eastAsia="de-DE"/>
              </w:rPr>
            </w:pPr>
          </w:p>
        </w:tc>
      </w:tr>
      <w:tr w:rsidR="00D1168C" w:rsidRPr="00897DD6" w14:paraId="7DC6CC39" w14:textId="77777777" w:rsidTr="00586B88">
        <w:trPr>
          <w:trHeight w:val="20"/>
        </w:trPr>
        <w:tc>
          <w:tcPr>
            <w:tcW w:w="9639" w:type="dxa"/>
          </w:tcPr>
          <w:p w14:paraId="096C6DA7" w14:textId="77777777" w:rsidR="00D1168C" w:rsidRDefault="00D1168C" w:rsidP="001C69E1">
            <w:pPr>
              <w:pStyle w:val="Abstze"/>
              <w:numPr>
                <w:ilvl w:val="0"/>
                <w:numId w:val="3"/>
              </w:numPr>
              <w:spacing w:after="0"/>
              <w:ind w:left="567" w:hanging="567"/>
              <w:jc w:val="left"/>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w:t>
            </w:r>
            <w:r w:rsidR="001C69E1">
              <w:rPr>
                <w:rFonts w:ascii="Arial" w:hAnsi="Arial" w:cs="Arial"/>
                <w:szCs w:val="20"/>
              </w:rPr>
              <w:t xml:space="preserve">deln </w:t>
            </w:r>
            <w:r w:rsidRPr="006609C7">
              <w:rPr>
                <w:rFonts w:ascii="Arial" w:hAnsi="Arial" w:cs="Arial"/>
                <w:szCs w:val="20"/>
              </w:rPr>
              <w:t>und dürfen niemandem zugänglich gemacht werden</w:t>
            </w:r>
            <w:r w:rsidRPr="0051507E">
              <w:rPr>
                <w:rFonts w:cs="Arial"/>
              </w:rPr>
              <w:t>,</w:t>
            </w:r>
          </w:p>
          <w:p w14:paraId="1FB75086" w14:textId="77777777" w:rsidR="001C69E1" w:rsidRPr="0051507E" w:rsidRDefault="001C69E1" w:rsidP="001C69E1">
            <w:pPr>
              <w:pStyle w:val="Abstze"/>
              <w:numPr>
                <w:ilvl w:val="0"/>
                <w:numId w:val="0"/>
              </w:numPr>
              <w:spacing w:after="0"/>
              <w:ind w:left="567"/>
              <w:jc w:val="left"/>
              <w:rPr>
                <w:rFonts w:cs="Arial"/>
              </w:rPr>
            </w:pPr>
          </w:p>
          <w:p w14:paraId="5698E8A3" w14:textId="77777777" w:rsidR="00D1168C" w:rsidRDefault="00D1168C" w:rsidP="001C69E1">
            <w:pPr>
              <w:pStyle w:val="Abstze"/>
              <w:numPr>
                <w:ilvl w:val="0"/>
                <w:numId w:val="0"/>
              </w:numPr>
              <w:spacing w:after="0"/>
              <w:ind w:firstLine="567"/>
              <w:rPr>
                <w:rFonts w:ascii="Arial" w:hAnsi="Arial" w:cs="Arial"/>
                <w:szCs w:val="20"/>
                <w:lang w:val="en-US"/>
              </w:rPr>
            </w:pPr>
            <w:proofErr w:type="spellStart"/>
            <w:r w:rsidRPr="0051507E">
              <w:rPr>
                <w:rFonts w:ascii="Arial" w:hAnsi="Arial" w:cs="Arial"/>
                <w:szCs w:val="20"/>
                <w:lang w:val="en-US"/>
              </w:rPr>
              <w:t>mit</w:t>
            </w:r>
            <w:proofErr w:type="spellEnd"/>
            <w:r w:rsidRPr="0051507E">
              <w:rPr>
                <w:rFonts w:ascii="Arial" w:hAnsi="Arial" w:cs="Arial"/>
                <w:szCs w:val="20"/>
                <w:lang w:val="en-US"/>
              </w:rPr>
              <w:t xml:space="preserve"> </w:t>
            </w:r>
            <w:proofErr w:type="spellStart"/>
            <w:r w:rsidRPr="0051507E">
              <w:rPr>
                <w:rFonts w:ascii="Arial" w:hAnsi="Arial" w:cs="Arial"/>
                <w:szCs w:val="20"/>
                <w:lang w:val="en-US"/>
              </w:rPr>
              <w:t>Ausnahme</w:t>
            </w:r>
            <w:proofErr w:type="spellEnd"/>
          </w:p>
          <w:p w14:paraId="4321ABC0" w14:textId="77777777" w:rsidR="00D1168C" w:rsidRPr="0051507E" w:rsidRDefault="00D1168C" w:rsidP="001C69E1">
            <w:pPr>
              <w:jc w:val="both"/>
              <w:rPr>
                <w:rFonts w:cs="Arial"/>
                <w:lang w:val="en-US" w:eastAsia="de-DE"/>
              </w:rPr>
            </w:pPr>
          </w:p>
        </w:tc>
      </w:tr>
      <w:tr w:rsidR="00D1168C" w:rsidRPr="0031026E" w14:paraId="12AAF175" w14:textId="77777777" w:rsidTr="00586B88">
        <w:trPr>
          <w:trHeight w:val="20"/>
        </w:trPr>
        <w:tc>
          <w:tcPr>
            <w:tcW w:w="9639" w:type="dxa"/>
          </w:tcPr>
          <w:p w14:paraId="4E95A0FD" w14:textId="77777777" w:rsidR="00D1168C" w:rsidRPr="00BC1CAE" w:rsidRDefault="00D1168C" w:rsidP="001C69E1">
            <w:pPr>
              <w:pStyle w:val="Abstze"/>
              <w:numPr>
                <w:ilvl w:val="0"/>
                <w:numId w:val="2"/>
              </w:numPr>
              <w:spacing w:after="0"/>
              <w:ind w:left="771" w:hanging="357"/>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mpfangenden Partei und</w:t>
            </w:r>
            <w:r w:rsidR="001C69E1">
              <w:rPr>
                <w:rFonts w:ascii="Arial" w:hAnsi="Arial" w:cs="Arial"/>
                <w:szCs w:val="20"/>
              </w:rPr>
              <w:t xml:space="preserve"> </w:t>
            </w:r>
            <w:r w:rsidRPr="006609C7">
              <w:rPr>
                <w:rFonts w:ascii="Arial" w:hAnsi="Arial" w:cs="Arial"/>
                <w:szCs w:val="20"/>
              </w:rPr>
              <w:t>/</w:t>
            </w:r>
            <w:r w:rsidR="001C69E1">
              <w:rPr>
                <w:rFonts w:ascii="Arial" w:hAnsi="Arial" w:cs="Arial"/>
                <w:szCs w:val="20"/>
              </w:rPr>
              <w:t xml:space="preserve"> </w:t>
            </w:r>
            <w:r w:rsidRPr="006609C7">
              <w:rPr>
                <w:rFonts w:ascii="Arial" w:hAnsi="Arial" w:cs="Arial"/>
                <w:szCs w:val="20"/>
              </w:rPr>
              <w:t xml:space="preserve">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5D4DF488" w14:textId="77777777" w:rsidR="00D1168C" w:rsidRPr="00A752E3" w:rsidRDefault="00D1168C" w:rsidP="001C69E1">
            <w:pPr>
              <w:jc w:val="both"/>
              <w:rPr>
                <w:rFonts w:cs="Arial"/>
                <w:lang w:eastAsia="de-DE"/>
              </w:rPr>
            </w:pPr>
          </w:p>
        </w:tc>
      </w:tr>
      <w:tr w:rsidR="00D1168C" w:rsidRPr="00813A55" w14:paraId="4849F11A" w14:textId="77777777" w:rsidTr="00586B88">
        <w:trPr>
          <w:trHeight w:val="20"/>
        </w:trPr>
        <w:tc>
          <w:tcPr>
            <w:tcW w:w="9639" w:type="dxa"/>
          </w:tcPr>
          <w:p w14:paraId="42FDC622" w14:textId="77777777" w:rsidR="00D1168C"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1CA6DBC6" w14:textId="77777777" w:rsidR="00D1168C" w:rsidRPr="00A752E3" w:rsidRDefault="00D1168C" w:rsidP="001C69E1">
            <w:pPr>
              <w:jc w:val="both"/>
              <w:rPr>
                <w:rFonts w:cs="Arial"/>
                <w:lang w:eastAsia="de-DE"/>
              </w:rPr>
            </w:pPr>
          </w:p>
        </w:tc>
      </w:tr>
      <w:tr w:rsidR="00D1168C" w:rsidRPr="0031026E" w14:paraId="58536AEE" w14:textId="77777777" w:rsidTr="00586B88">
        <w:trPr>
          <w:trHeight w:val="20"/>
        </w:trPr>
        <w:tc>
          <w:tcPr>
            <w:tcW w:w="9639" w:type="dxa"/>
          </w:tcPr>
          <w:p w14:paraId="57B358CC" w14:textId="77777777" w:rsidR="00D1168C" w:rsidRPr="006609C7" w:rsidRDefault="00D1168C" w:rsidP="001C69E1">
            <w:pPr>
              <w:pStyle w:val="Abstze"/>
              <w:numPr>
                <w:ilvl w:val="0"/>
                <w:numId w:val="1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16626899" w14:textId="77777777" w:rsidR="00D1168C" w:rsidRPr="00A752E3" w:rsidRDefault="00D1168C" w:rsidP="001C69E1">
            <w:pPr>
              <w:jc w:val="both"/>
              <w:rPr>
                <w:rFonts w:cs="Arial"/>
                <w:lang w:eastAsia="de-DE"/>
              </w:rPr>
            </w:pPr>
          </w:p>
        </w:tc>
      </w:tr>
      <w:tr w:rsidR="00D1168C" w:rsidRPr="0031026E" w14:paraId="57B2D5F6" w14:textId="77777777" w:rsidTr="00586B88">
        <w:trPr>
          <w:trHeight w:val="20"/>
        </w:trPr>
        <w:tc>
          <w:tcPr>
            <w:tcW w:w="9639" w:type="dxa"/>
          </w:tcPr>
          <w:p w14:paraId="133A12E4" w14:textId="77777777" w:rsidR="00D1168C" w:rsidRPr="006609C7" w:rsidRDefault="00D1168C" w:rsidP="001C69E1">
            <w:pPr>
              <w:pStyle w:val="Abstze"/>
              <w:numPr>
                <w:ilvl w:val="0"/>
                <w:numId w:val="1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35F373EB" w14:textId="77777777" w:rsidR="00D1168C" w:rsidRPr="00A752E3" w:rsidRDefault="00D1168C" w:rsidP="001C69E1">
            <w:pPr>
              <w:jc w:val="both"/>
              <w:rPr>
                <w:rFonts w:cs="Arial"/>
                <w:lang w:eastAsia="de-DE"/>
              </w:rPr>
            </w:pPr>
          </w:p>
        </w:tc>
      </w:tr>
      <w:tr w:rsidR="00D1168C" w:rsidRPr="0031026E" w14:paraId="1F263E94" w14:textId="77777777" w:rsidTr="00586B88">
        <w:trPr>
          <w:trHeight w:val="20"/>
        </w:trPr>
        <w:tc>
          <w:tcPr>
            <w:tcW w:w="9639" w:type="dxa"/>
          </w:tcPr>
          <w:p w14:paraId="02C7252C" w14:textId="77777777" w:rsidR="00D1168C" w:rsidRPr="006609C7" w:rsidRDefault="00D1168C" w:rsidP="001C69E1">
            <w:pPr>
              <w:pStyle w:val="Abstze"/>
              <w:numPr>
                <w:ilvl w:val="0"/>
                <w:numId w:val="1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2CE9C48E" w14:textId="77777777" w:rsidR="00D1168C" w:rsidRPr="00A752E3" w:rsidRDefault="00D1168C" w:rsidP="001C69E1">
            <w:pPr>
              <w:jc w:val="both"/>
              <w:rPr>
                <w:rFonts w:cs="Arial"/>
                <w:lang w:eastAsia="de-DE"/>
              </w:rPr>
            </w:pPr>
          </w:p>
        </w:tc>
      </w:tr>
    </w:tbl>
    <w:p w14:paraId="193B66B8" w14:textId="77777777" w:rsidR="00DA6AA1" w:rsidRDefault="00DA6AA1">
      <w:r>
        <w:rPr>
          <w:b/>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8C7BA6" w14:paraId="48B7A6BB" w14:textId="77777777" w:rsidTr="00586B88">
        <w:trPr>
          <w:trHeight w:val="20"/>
        </w:trPr>
        <w:tc>
          <w:tcPr>
            <w:tcW w:w="9639" w:type="dxa"/>
          </w:tcPr>
          <w:p w14:paraId="16E0681A" w14:textId="77777777" w:rsidR="00D1168C" w:rsidRPr="0028690A" w:rsidRDefault="00D1168C" w:rsidP="00586B88">
            <w:pPr>
              <w:pStyle w:val="Paragraph"/>
              <w:spacing w:before="0" w:after="0"/>
              <w:ind w:left="0" w:firstLine="0"/>
              <w:rPr>
                <w:rFonts w:ascii="Arial" w:hAnsi="Arial" w:cs="Arial"/>
                <w:szCs w:val="22"/>
              </w:rPr>
            </w:pPr>
          </w:p>
          <w:p w14:paraId="3A067D52"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Artikel 3 - Ausnahmen</w:t>
            </w:r>
          </w:p>
          <w:p w14:paraId="26027E65" w14:textId="77777777" w:rsidR="00D1168C" w:rsidRPr="008C7BA6" w:rsidRDefault="00D1168C" w:rsidP="00586B88">
            <w:pPr>
              <w:spacing w:line="276" w:lineRule="auto"/>
              <w:rPr>
                <w:rFonts w:cs="Arial"/>
                <w:sz w:val="22"/>
                <w:szCs w:val="22"/>
                <w:lang w:eastAsia="de-DE"/>
              </w:rPr>
            </w:pPr>
          </w:p>
        </w:tc>
      </w:tr>
      <w:tr w:rsidR="00D1168C" w:rsidRPr="0031026E" w14:paraId="403E0D08" w14:textId="77777777" w:rsidTr="00586B88">
        <w:trPr>
          <w:trHeight w:val="20"/>
        </w:trPr>
        <w:tc>
          <w:tcPr>
            <w:tcW w:w="9639" w:type="dxa"/>
          </w:tcPr>
          <w:p w14:paraId="48843D0F" w14:textId="77777777" w:rsidR="00D1168C" w:rsidRPr="006609C7" w:rsidRDefault="00D1168C" w:rsidP="001C69E1">
            <w:pPr>
              <w:pStyle w:val="Abstze"/>
              <w:numPr>
                <w:ilvl w:val="0"/>
                <w:numId w:val="4"/>
              </w:numPr>
              <w:spacing w:after="0"/>
              <w:ind w:left="567" w:hanging="567"/>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14273C39" w14:textId="77777777" w:rsidR="00D1168C" w:rsidRPr="00A752E3" w:rsidRDefault="00D1168C" w:rsidP="001C69E1">
            <w:pPr>
              <w:jc w:val="both"/>
              <w:rPr>
                <w:rFonts w:cs="Arial"/>
                <w:lang w:eastAsia="de-DE"/>
              </w:rPr>
            </w:pPr>
          </w:p>
        </w:tc>
      </w:tr>
      <w:tr w:rsidR="00D1168C" w:rsidRPr="0031026E" w14:paraId="25690E3A" w14:textId="77777777" w:rsidTr="00586B88">
        <w:trPr>
          <w:trHeight w:val="20"/>
        </w:trPr>
        <w:tc>
          <w:tcPr>
            <w:tcW w:w="9639" w:type="dxa"/>
          </w:tcPr>
          <w:p w14:paraId="2786B9D5" w14:textId="77777777" w:rsidR="00D1168C" w:rsidRPr="005574B1"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Geheimhaltungsvereinbarung öffentlich bekannt werden,</w:t>
            </w:r>
          </w:p>
          <w:p w14:paraId="7693F69E" w14:textId="77777777" w:rsidR="00D1168C" w:rsidRPr="00A752E3" w:rsidRDefault="00D1168C" w:rsidP="001C69E1">
            <w:pPr>
              <w:jc w:val="both"/>
              <w:rPr>
                <w:rFonts w:cs="Arial"/>
                <w:lang w:eastAsia="de-DE"/>
              </w:rPr>
            </w:pPr>
          </w:p>
        </w:tc>
      </w:tr>
      <w:tr w:rsidR="00D1168C" w:rsidRPr="0031026E" w14:paraId="006B94B5" w14:textId="77777777" w:rsidTr="00586B88">
        <w:trPr>
          <w:trHeight w:val="20"/>
        </w:trPr>
        <w:tc>
          <w:tcPr>
            <w:tcW w:w="9639" w:type="dxa"/>
          </w:tcPr>
          <w:p w14:paraId="4A53803E" w14:textId="77777777" w:rsidR="00D1168C" w:rsidRPr="005574B1"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D1168C" w:rsidRPr="0031026E" w14:paraId="1409AA81" w14:textId="77777777" w:rsidTr="00586B88">
        <w:trPr>
          <w:trHeight w:val="20"/>
        </w:trPr>
        <w:tc>
          <w:tcPr>
            <w:tcW w:w="9639" w:type="dxa"/>
          </w:tcPr>
          <w:p w14:paraId="3A34907D" w14:textId="77777777" w:rsidR="00D1168C" w:rsidRPr="00967F1B"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0D97CFC0" w14:textId="77777777" w:rsidR="00D1168C" w:rsidRPr="00A752E3" w:rsidRDefault="00D1168C" w:rsidP="001C69E1">
            <w:pPr>
              <w:jc w:val="both"/>
              <w:rPr>
                <w:rFonts w:cs="Arial"/>
                <w:lang w:eastAsia="de-DE"/>
              </w:rPr>
            </w:pPr>
          </w:p>
        </w:tc>
      </w:tr>
      <w:tr w:rsidR="00D1168C" w:rsidRPr="00813A55" w14:paraId="28DDB412" w14:textId="77777777" w:rsidTr="00586B88">
        <w:trPr>
          <w:trHeight w:val="20"/>
        </w:trPr>
        <w:tc>
          <w:tcPr>
            <w:tcW w:w="9639" w:type="dxa"/>
          </w:tcPr>
          <w:p w14:paraId="51DEE1B7" w14:textId="77777777" w:rsidR="00D1168C" w:rsidRPr="006609C7" w:rsidRDefault="00D1168C" w:rsidP="001C69E1">
            <w:pPr>
              <w:pStyle w:val="Abstze"/>
              <w:numPr>
                <w:ilvl w:val="0"/>
                <w:numId w:val="2"/>
              </w:numPr>
              <w:spacing w:after="0"/>
              <w:ind w:left="771" w:hanging="357"/>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6E8614ED" w14:textId="77777777" w:rsidR="00D1168C" w:rsidRPr="00A752E3" w:rsidRDefault="00D1168C" w:rsidP="001C69E1">
            <w:pPr>
              <w:jc w:val="both"/>
              <w:rPr>
                <w:rFonts w:cs="Arial"/>
                <w:lang w:eastAsia="de-DE"/>
              </w:rPr>
            </w:pPr>
          </w:p>
        </w:tc>
      </w:tr>
      <w:tr w:rsidR="00D1168C" w:rsidRPr="0031026E" w14:paraId="0E3F2040" w14:textId="77777777" w:rsidTr="00586B88">
        <w:trPr>
          <w:trHeight w:val="20"/>
        </w:trPr>
        <w:tc>
          <w:tcPr>
            <w:tcW w:w="9639" w:type="dxa"/>
          </w:tcPr>
          <w:p w14:paraId="5C51E6A3" w14:textId="77777777" w:rsidR="00D1168C" w:rsidRPr="006609C7" w:rsidRDefault="00D1168C" w:rsidP="001C69E1">
            <w:pPr>
              <w:pStyle w:val="Abstze"/>
              <w:numPr>
                <w:ilvl w:val="0"/>
                <w:numId w:val="4"/>
              </w:numPr>
              <w:spacing w:after="0"/>
              <w:ind w:left="567" w:hanging="567"/>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4D09DBB9" w14:textId="77777777" w:rsidR="00D1168C" w:rsidRPr="00A752E3" w:rsidRDefault="00D1168C" w:rsidP="001C69E1">
            <w:pPr>
              <w:spacing w:line="260" w:lineRule="atLeast"/>
              <w:jc w:val="both"/>
              <w:rPr>
                <w:rFonts w:cs="Arial"/>
                <w:lang w:eastAsia="de-DE"/>
              </w:rPr>
            </w:pPr>
          </w:p>
        </w:tc>
      </w:tr>
      <w:tr w:rsidR="00D1168C" w:rsidRPr="008C7BA6" w14:paraId="70FDBDA3" w14:textId="77777777" w:rsidTr="00586B88">
        <w:trPr>
          <w:trHeight w:val="20"/>
        </w:trPr>
        <w:tc>
          <w:tcPr>
            <w:tcW w:w="9639" w:type="dxa"/>
          </w:tcPr>
          <w:p w14:paraId="26C4FB23" w14:textId="77777777" w:rsidR="00D1168C" w:rsidRPr="0028690A" w:rsidRDefault="00D1168C" w:rsidP="00586B88">
            <w:pPr>
              <w:pStyle w:val="Abstze"/>
              <w:numPr>
                <w:ilvl w:val="0"/>
                <w:numId w:val="0"/>
              </w:numPr>
              <w:spacing w:after="0"/>
              <w:ind w:left="851" w:hanging="567"/>
              <w:rPr>
                <w:rFonts w:ascii="Arial" w:hAnsi="Arial" w:cs="Arial"/>
                <w:sz w:val="22"/>
                <w:szCs w:val="22"/>
              </w:rPr>
            </w:pPr>
          </w:p>
          <w:p w14:paraId="6DE336EB"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Artikel 4 - Rechte</w:t>
            </w:r>
          </w:p>
          <w:p w14:paraId="40BEC0F8" w14:textId="77777777" w:rsidR="00D1168C" w:rsidRPr="008C7BA6" w:rsidRDefault="00D1168C" w:rsidP="00586B88">
            <w:pPr>
              <w:spacing w:line="260" w:lineRule="atLeast"/>
              <w:rPr>
                <w:rFonts w:cs="Arial"/>
                <w:sz w:val="22"/>
                <w:szCs w:val="22"/>
                <w:lang w:eastAsia="de-DE"/>
              </w:rPr>
            </w:pPr>
          </w:p>
        </w:tc>
      </w:tr>
      <w:tr w:rsidR="00D1168C" w:rsidRPr="0031026E" w14:paraId="067C969C" w14:textId="77777777" w:rsidTr="00586B88">
        <w:trPr>
          <w:trHeight w:val="20"/>
        </w:trPr>
        <w:tc>
          <w:tcPr>
            <w:tcW w:w="9639" w:type="dxa"/>
          </w:tcPr>
          <w:p w14:paraId="5161045C" w14:textId="77777777" w:rsidR="00D1168C" w:rsidRPr="006609C7" w:rsidRDefault="00D1168C" w:rsidP="001C69E1">
            <w:pPr>
              <w:pStyle w:val="Abstze"/>
              <w:numPr>
                <w:ilvl w:val="0"/>
                <w:numId w:val="5"/>
              </w:numPr>
              <w:spacing w:after="0"/>
              <w:ind w:left="567" w:hanging="567"/>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11F117DD" w14:textId="77777777" w:rsidR="00D1168C" w:rsidRPr="006609C7" w:rsidRDefault="00D1168C" w:rsidP="001C69E1">
            <w:pPr>
              <w:pStyle w:val="Abstze"/>
              <w:numPr>
                <w:ilvl w:val="0"/>
                <w:numId w:val="0"/>
              </w:numPr>
              <w:spacing w:after="0"/>
              <w:ind w:left="567"/>
              <w:rPr>
                <w:rFonts w:ascii="Arial" w:hAnsi="Arial" w:cs="Arial"/>
                <w:szCs w:val="20"/>
              </w:rPr>
            </w:pPr>
          </w:p>
          <w:p w14:paraId="692D35FA" w14:textId="77777777" w:rsidR="00D1168C" w:rsidRPr="00A752E3" w:rsidRDefault="00D1168C" w:rsidP="001C69E1">
            <w:pPr>
              <w:pStyle w:val="Abstze"/>
              <w:numPr>
                <w:ilvl w:val="0"/>
                <w:numId w:val="0"/>
              </w:numPr>
              <w:spacing w:after="0"/>
              <w:ind w:left="851" w:hanging="567"/>
              <w:rPr>
                <w:rFonts w:cs="Arial"/>
              </w:rPr>
            </w:pPr>
          </w:p>
        </w:tc>
      </w:tr>
      <w:tr w:rsidR="00D1168C" w:rsidRPr="00813A55" w14:paraId="1C5FC95C" w14:textId="77777777" w:rsidTr="00586B88">
        <w:trPr>
          <w:trHeight w:val="20"/>
        </w:trPr>
        <w:tc>
          <w:tcPr>
            <w:tcW w:w="9639" w:type="dxa"/>
          </w:tcPr>
          <w:p w14:paraId="74AA8987" w14:textId="77777777" w:rsidR="00D1168C" w:rsidRPr="006609C7" w:rsidRDefault="00D1168C" w:rsidP="001C69E1">
            <w:pPr>
              <w:pStyle w:val="Abstze"/>
              <w:numPr>
                <w:ilvl w:val="0"/>
                <w:numId w:val="5"/>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4D6AFC59" w14:textId="77777777" w:rsidR="00D1168C" w:rsidRPr="006609C7" w:rsidRDefault="00D1168C" w:rsidP="001C69E1">
            <w:pPr>
              <w:pStyle w:val="Abstze"/>
              <w:numPr>
                <w:ilvl w:val="0"/>
                <w:numId w:val="0"/>
              </w:numPr>
              <w:spacing w:after="0"/>
              <w:rPr>
                <w:rFonts w:ascii="Arial" w:hAnsi="Arial" w:cs="Arial"/>
                <w:szCs w:val="20"/>
              </w:rPr>
            </w:pPr>
          </w:p>
        </w:tc>
      </w:tr>
      <w:tr w:rsidR="00D1168C" w:rsidRPr="0031026E" w14:paraId="5C28942D" w14:textId="77777777" w:rsidTr="00586B88">
        <w:trPr>
          <w:trHeight w:val="20"/>
        </w:trPr>
        <w:tc>
          <w:tcPr>
            <w:tcW w:w="9639" w:type="dxa"/>
          </w:tcPr>
          <w:p w14:paraId="21BC9EE6" w14:textId="77777777" w:rsidR="00D1168C" w:rsidRPr="001C69E1" w:rsidRDefault="00D1168C" w:rsidP="001C69E1">
            <w:pPr>
              <w:pStyle w:val="Abstze"/>
              <w:numPr>
                <w:ilvl w:val="0"/>
                <w:numId w:val="5"/>
              </w:numPr>
              <w:spacing w:after="0"/>
              <w:ind w:left="567" w:hanging="567"/>
              <w:rPr>
                <w:rFonts w:ascii="Arial" w:hAnsi="Arial" w:cs="Arial"/>
                <w:szCs w:val="20"/>
              </w:rPr>
            </w:pP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tc>
      </w:tr>
      <w:tr w:rsidR="00D1168C" w:rsidRPr="008C7BA6" w14:paraId="2B3043BA" w14:textId="77777777" w:rsidTr="00586B88">
        <w:trPr>
          <w:trHeight w:val="20"/>
        </w:trPr>
        <w:tc>
          <w:tcPr>
            <w:tcW w:w="9639" w:type="dxa"/>
          </w:tcPr>
          <w:p w14:paraId="1BC96C26" w14:textId="77777777" w:rsidR="00D1168C" w:rsidRPr="0028690A" w:rsidRDefault="00D1168C" w:rsidP="00586B88">
            <w:pPr>
              <w:pStyle w:val="Listenabsatz"/>
              <w:spacing w:after="0"/>
              <w:ind w:left="786"/>
              <w:jc w:val="center"/>
              <w:rPr>
                <w:rFonts w:ascii="Arial" w:hAnsi="Arial" w:cs="Arial"/>
                <w:b/>
                <w:sz w:val="22"/>
                <w:szCs w:val="22"/>
              </w:rPr>
            </w:pPr>
          </w:p>
          <w:p w14:paraId="1946B391" w14:textId="77777777" w:rsidR="00D1168C" w:rsidRDefault="00D1168C" w:rsidP="00586B88">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00865523">
              <w:rPr>
                <w:sz w:val="22"/>
                <w:szCs w:val="22"/>
              </w:rPr>
              <w:t xml:space="preserve"> </w:t>
            </w:r>
            <w:r w:rsidRPr="008C7BA6">
              <w:rPr>
                <w:rFonts w:ascii="Arial" w:hAnsi="Arial" w:cs="Arial"/>
                <w:b/>
                <w:sz w:val="22"/>
                <w:szCs w:val="22"/>
              </w:rPr>
              <w:t>Pauschalierter Schadensersatz</w:t>
            </w:r>
          </w:p>
          <w:p w14:paraId="48637946" w14:textId="77777777" w:rsidR="00D1168C" w:rsidRPr="008C7BA6" w:rsidRDefault="00D1168C" w:rsidP="00586B88">
            <w:pPr>
              <w:spacing w:line="260" w:lineRule="atLeast"/>
              <w:rPr>
                <w:rFonts w:cs="Arial"/>
                <w:sz w:val="22"/>
                <w:szCs w:val="22"/>
                <w:lang w:eastAsia="de-DE"/>
              </w:rPr>
            </w:pPr>
          </w:p>
        </w:tc>
      </w:tr>
      <w:tr w:rsidR="00D1168C" w:rsidRPr="00813A55" w14:paraId="0A97E9E9" w14:textId="77777777" w:rsidTr="00586B88">
        <w:trPr>
          <w:trHeight w:val="20"/>
        </w:trPr>
        <w:tc>
          <w:tcPr>
            <w:tcW w:w="9639" w:type="dxa"/>
          </w:tcPr>
          <w:p w14:paraId="75A3137A" w14:textId="77777777" w:rsidR="00D1168C" w:rsidRPr="006609C7" w:rsidRDefault="00D1168C" w:rsidP="001C69E1">
            <w:pPr>
              <w:pStyle w:val="Paragraph"/>
              <w:spacing w:before="0" w:after="0"/>
              <w:ind w:left="0" w:firstLine="0"/>
              <w:jc w:val="both"/>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14:paraId="0C2F3884" w14:textId="77777777" w:rsidR="00D1168C" w:rsidRPr="00A752E3" w:rsidRDefault="00D1168C" w:rsidP="00586B88">
            <w:pPr>
              <w:spacing w:line="260" w:lineRule="atLeast"/>
              <w:rPr>
                <w:rFonts w:cs="Arial"/>
                <w:lang w:eastAsia="de-DE"/>
              </w:rPr>
            </w:pPr>
          </w:p>
        </w:tc>
      </w:tr>
    </w:tbl>
    <w:p w14:paraId="00F54DD7" w14:textId="77777777" w:rsidR="001C69E1" w:rsidRDefault="001C69E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7B3D4A" w14:paraId="2781ADFD" w14:textId="77777777" w:rsidTr="00586B88">
        <w:trPr>
          <w:trHeight w:val="20"/>
        </w:trPr>
        <w:tc>
          <w:tcPr>
            <w:tcW w:w="9639" w:type="dxa"/>
          </w:tcPr>
          <w:p w14:paraId="5DB7DB70" w14:textId="77777777" w:rsidR="00D1168C" w:rsidRPr="0028690A" w:rsidRDefault="00D1168C" w:rsidP="00586B88">
            <w:pPr>
              <w:pStyle w:val="Abstze"/>
              <w:numPr>
                <w:ilvl w:val="0"/>
                <w:numId w:val="0"/>
              </w:numPr>
              <w:spacing w:after="0"/>
              <w:rPr>
                <w:rFonts w:ascii="Arial" w:hAnsi="Arial" w:cs="Arial"/>
                <w:sz w:val="22"/>
                <w:szCs w:val="22"/>
              </w:rPr>
            </w:pPr>
          </w:p>
          <w:p w14:paraId="716A4994"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15959BAB" w14:textId="77777777" w:rsidR="00D1168C" w:rsidRPr="008C7BA6" w:rsidRDefault="00D1168C" w:rsidP="00586B88">
            <w:pPr>
              <w:spacing w:line="260" w:lineRule="atLeast"/>
              <w:rPr>
                <w:rFonts w:cs="Arial"/>
                <w:sz w:val="22"/>
                <w:szCs w:val="22"/>
                <w:lang w:eastAsia="de-DE"/>
              </w:rPr>
            </w:pPr>
          </w:p>
        </w:tc>
      </w:tr>
      <w:tr w:rsidR="00D1168C" w:rsidRPr="00813A55" w14:paraId="08278F6A" w14:textId="77777777" w:rsidTr="00586B88">
        <w:trPr>
          <w:trHeight w:val="20"/>
        </w:trPr>
        <w:tc>
          <w:tcPr>
            <w:tcW w:w="9639" w:type="dxa"/>
          </w:tcPr>
          <w:p w14:paraId="34FC8599" w14:textId="77777777" w:rsidR="00D1168C" w:rsidRPr="00D00685" w:rsidRDefault="00D1168C" w:rsidP="001C69E1">
            <w:pPr>
              <w:pStyle w:val="Abstze"/>
              <w:numPr>
                <w:ilvl w:val="0"/>
                <w:numId w:val="0"/>
              </w:numPr>
              <w:spacing w:after="0"/>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569E0B62" w14:textId="77777777" w:rsidR="00D1168C" w:rsidRPr="00A752E3" w:rsidRDefault="00D1168C" w:rsidP="00586B88">
            <w:pPr>
              <w:spacing w:line="260" w:lineRule="atLeast"/>
              <w:rPr>
                <w:rFonts w:cs="Arial"/>
                <w:lang w:eastAsia="de-DE"/>
              </w:rPr>
            </w:pPr>
          </w:p>
        </w:tc>
      </w:tr>
      <w:tr w:rsidR="00D1168C" w:rsidRPr="008C7BA6" w14:paraId="77942715" w14:textId="77777777" w:rsidTr="00586B88">
        <w:trPr>
          <w:trHeight w:val="20"/>
        </w:trPr>
        <w:tc>
          <w:tcPr>
            <w:tcW w:w="9639" w:type="dxa"/>
          </w:tcPr>
          <w:p w14:paraId="70B57CB1" w14:textId="77777777" w:rsidR="00D1168C" w:rsidRPr="0028690A" w:rsidRDefault="00D1168C" w:rsidP="00586B88">
            <w:pPr>
              <w:pStyle w:val="Abstze"/>
              <w:numPr>
                <w:ilvl w:val="0"/>
                <w:numId w:val="0"/>
              </w:numPr>
              <w:spacing w:after="0"/>
              <w:rPr>
                <w:rFonts w:ascii="Arial" w:hAnsi="Arial" w:cs="Arial"/>
                <w:sz w:val="22"/>
                <w:szCs w:val="22"/>
              </w:rPr>
            </w:pPr>
          </w:p>
          <w:p w14:paraId="7D7D926D"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Gewährleistungsausschluss</w:t>
            </w:r>
          </w:p>
          <w:p w14:paraId="556750D0" w14:textId="77777777" w:rsidR="00D1168C" w:rsidRPr="008C7BA6" w:rsidRDefault="00D1168C" w:rsidP="00586B88">
            <w:pPr>
              <w:spacing w:line="260" w:lineRule="atLeast"/>
              <w:rPr>
                <w:rFonts w:cs="Arial"/>
                <w:sz w:val="22"/>
                <w:szCs w:val="22"/>
                <w:lang w:eastAsia="de-DE"/>
              </w:rPr>
            </w:pPr>
          </w:p>
        </w:tc>
      </w:tr>
      <w:tr w:rsidR="00D1168C" w:rsidRPr="0031026E" w14:paraId="5F0ECE34" w14:textId="77777777" w:rsidTr="00586B88">
        <w:trPr>
          <w:trHeight w:val="20"/>
        </w:trPr>
        <w:tc>
          <w:tcPr>
            <w:tcW w:w="9639" w:type="dxa"/>
          </w:tcPr>
          <w:p w14:paraId="09AC4393" w14:textId="77777777" w:rsidR="00D1168C" w:rsidRPr="00D00685" w:rsidRDefault="00D1168C" w:rsidP="001C69E1">
            <w:pPr>
              <w:pStyle w:val="Abstze"/>
              <w:numPr>
                <w:ilvl w:val="0"/>
                <w:numId w:val="0"/>
              </w:numPr>
              <w:spacing w:after="0"/>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30A90418" w14:textId="77777777" w:rsidR="00D1168C" w:rsidRPr="00A752E3" w:rsidRDefault="00D1168C" w:rsidP="00586B88">
            <w:pPr>
              <w:spacing w:line="260" w:lineRule="atLeast"/>
              <w:rPr>
                <w:rFonts w:cs="Arial"/>
                <w:lang w:eastAsia="de-DE"/>
              </w:rPr>
            </w:pPr>
          </w:p>
        </w:tc>
      </w:tr>
      <w:tr w:rsidR="00D1168C" w:rsidRPr="008C7BA6" w14:paraId="5170A785" w14:textId="77777777" w:rsidTr="00586B88">
        <w:trPr>
          <w:trHeight w:val="20"/>
        </w:trPr>
        <w:tc>
          <w:tcPr>
            <w:tcW w:w="9639" w:type="dxa"/>
          </w:tcPr>
          <w:p w14:paraId="560997A7" w14:textId="77777777" w:rsidR="00D1168C" w:rsidRPr="0028690A" w:rsidRDefault="00D1168C" w:rsidP="00586B88">
            <w:pPr>
              <w:pStyle w:val="Abstze"/>
              <w:numPr>
                <w:ilvl w:val="0"/>
                <w:numId w:val="0"/>
              </w:numPr>
              <w:spacing w:after="0"/>
              <w:rPr>
                <w:rFonts w:ascii="Arial" w:hAnsi="Arial" w:cs="Arial"/>
                <w:sz w:val="22"/>
                <w:szCs w:val="22"/>
              </w:rPr>
            </w:pPr>
          </w:p>
          <w:p w14:paraId="490BB7AF"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Laufzeit</w:t>
            </w:r>
          </w:p>
          <w:p w14:paraId="6192A27E" w14:textId="77777777" w:rsidR="00D1168C" w:rsidRPr="008C7BA6" w:rsidRDefault="00D1168C" w:rsidP="00586B88">
            <w:pPr>
              <w:spacing w:line="260" w:lineRule="atLeast"/>
              <w:rPr>
                <w:rFonts w:cs="Arial"/>
                <w:sz w:val="22"/>
                <w:szCs w:val="22"/>
                <w:lang w:eastAsia="de-DE"/>
              </w:rPr>
            </w:pPr>
          </w:p>
        </w:tc>
      </w:tr>
      <w:tr w:rsidR="00D1168C" w:rsidRPr="00813A55" w14:paraId="53B9B010" w14:textId="77777777" w:rsidTr="00586B88">
        <w:trPr>
          <w:trHeight w:val="20"/>
        </w:trPr>
        <w:tc>
          <w:tcPr>
            <w:tcW w:w="9639" w:type="dxa"/>
          </w:tcPr>
          <w:p w14:paraId="69D77ACC" w14:textId="77777777" w:rsidR="001C69E1" w:rsidRDefault="00D1168C" w:rsidP="001C69E1">
            <w:pPr>
              <w:pStyle w:val="Abstze"/>
              <w:numPr>
                <w:ilvl w:val="0"/>
                <w:numId w:val="0"/>
              </w:numPr>
              <w:spacing w:after="0"/>
              <w:rPr>
                <w:rFonts w:ascii="Arial" w:hAnsi="Arial" w:cs="Arial"/>
                <w:szCs w:val="20"/>
              </w:rPr>
            </w:pPr>
            <w:r w:rsidRPr="00D00685">
              <w:rPr>
                <w:rFonts w:ascii="Arial" w:hAnsi="Arial" w:cs="Arial"/>
                <w:szCs w:val="20"/>
              </w:rPr>
              <w:t xml:space="preserve">Die Vereinbarung tritt mit Unterzeichnung durch beide Parteien in Kraft und gilt ab diesem Zeitpunkt für </w:t>
            </w:r>
          </w:p>
          <w:p w14:paraId="0A8ECA04" w14:textId="77777777" w:rsidR="00D1168C" w:rsidRPr="00D00685" w:rsidRDefault="00D1168C" w:rsidP="001C69E1">
            <w:pPr>
              <w:pStyle w:val="Abstze"/>
              <w:numPr>
                <w:ilvl w:val="0"/>
                <w:numId w:val="0"/>
              </w:numPr>
              <w:spacing w:after="0"/>
              <w:rPr>
                <w:rFonts w:ascii="Arial" w:hAnsi="Arial" w:cs="Arial"/>
                <w:szCs w:val="20"/>
              </w:rPr>
            </w:pPr>
            <w:r w:rsidRPr="00D00685">
              <w:rPr>
                <w:rFonts w:ascii="Arial" w:hAnsi="Arial" w:cs="Arial"/>
                <w:szCs w:val="20"/>
              </w:rPr>
              <w:t>5 Jahre.</w:t>
            </w:r>
            <w:r>
              <w:rPr>
                <w:rFonts w:ascii="Arial" w:hAnsi="Arial" w:cs="Arial"/>
                <w:szCs w:val="20"/>
              </w:rPr>
              <w:t xml:space="preserve"> </w:t>
            </w:r>
            <w:r w:rsidRPr="002B5DB5">
              <w:rPr>
                <w:rFonts w:ascii="Arial" w:hAnsi="Arial" w:cs="Arial"/>
                <w:szCs w:val="20"/>
              </w:rPr>
              <w:t>Die Verpflichtungen zur Vertraulichkeit gelten für 3 weitere Jahre nach Ablauf dieser Vereinbarung.</w:t>
            </w:r>
          </w:p>
          <w:p w14:paraId="22E8B021" w14:textId="77777777" w:rsidR="00865523" w:rsidRPr="00A752E3" w:rsidRDefault="00865523" w:rsidP="00586B88">
            <w:pPr>
              <w:spacing w:line="260" w:lineRule="atLeast"/>
              <w:rPr>
                <w:rFonts w:cs="Arial"/>
                <w:lang w:eastAsia="de-DE"/>
              </w:rPr>
            </w:pPr>
          </w:p>
        </w:tc>
      </w:tr>
      <w:tr w:rsidR="00D1168C" w:rsidRPr="00813A55" w14:paraId="6964DDD7" w14:textId="77777777" w:rsidTr="00586B88">
        <w:trPr>
          <w:trHeight w:val="20"/>
        </w:trPr>
        <w:tc>
          <w:tcPr>
            <w:tcW w:w="9639" w:type="dxa"/>
          </w:tcPr>
          <w:p w14:paraId="15A439FF" w14:textId="77777777" w:rsidR="00D1168C" w:rsidRPr="0028690A" w:rsidRDefault="00D1168C" w:rsidP="00586B88">
            <w:pPr>
              <w:pStyle w:val="Abstze"/>
              <w:numPr>
                <w:ilvl w:val="0"/>
                <w:numId w:val="0"/>
              </w:numPr>
              <w:spacing w:after="0"/>
              <w:rPr>
                <w:rFonts w:ascii="Arial" w:hAnsi="Arial" w:cs="Arial"/>
                <w:sz w:val="22"/>
                <w:szCs w:val="22"/>
              </w:rPr>
            </w:pPr>
          </w:p>
          <w:p w14:paraId="5851997E"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Gerichtsstand und anwendbares Recht</w:t>
            </w:r>
          </w:p>
          <w:p w14:paraId="4D7A56E8" w14:textId="77777777" w:rsidR="00D1168C" w:rsidRPr="008C7BA6" w:rsidRDefault="00D1168C" w:rsidP="00586B88">
            <w:pPr>
              <w:spacing w:line="260" w:lineRule="atLeast"/>
              <w:rPr>
                <w:rFonts w:cs="Arial"/>
                <w:sz w:val="22"/>
                <w:szCs w:val="22"/>
                <w:lang w:eastAsia="de-DE"/>
              </w:rPr>
            </w:pPr>
          </w:p>
        </w:tc>
      </w:tr>
      <w:tr w:rsidR="00D1168C" w:rsidRPr="0031026E" w14:paraId="5E85F4DE" w14:textId="77777777" w:rsidTr="00586B88">
        <w:trPr>
          <w:trHeight w:val="20"/>
        </w:trPr>
        <w:tc>
          <w:tcPr>
            <w:tcW w:w="9639" w:type="dxa"/>
          </w:tcPr>
          <w:p w14:paraId="5D9F7FF5" w14:textId="77777777" w:rsidR="00D1168C" w:rsidRPr="00A678FA" w:rsidRDefault="00D1168C" w:rsidP="001C69E1">
            <w:pPr>
              <w:pStyle w:val="Listenabsatz"/>
              <w:numPr>
                <w:ilvl w:val="0"/>
                <w:numId w:val="7"/>
              </w:numPr>
              <w:spacing w:after="0"/>
              <w:ind w:left="567" w:hanging="567"/>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4AFCC7B3" w14:textId="77777777" w:rsidR="00865523" w:rsidRPr="00A752E3" w:rsidRDefault="00865523" w:rsidP="001C69E1">
            <w:pPr>
              <w:spacing w:line="260" w:lineRule="atLeast"/>
              <w:jc w:val="both"/>
              <w:rPr>
                <w:rFonts w:cs="Arial"/>
                <w:lang w:eastAsia="de-DE"/>
              </w:rPr>
            </w:pPr>
          </w:p>
        </w:tc>
      </w:tr>
      <w:tr w:rsidR="00D1168C" w:rsidRPr="00813A55" w14:paraId="087DFAD4" w14:textId="77777777" w:rsidTr="00586B88">
        <w:trPr>
          <w:trHeight w:val="20"/>
        </w:trPr>
        <w:tc>
          <w:tcPr>
            <w:tcW w:w="9639" w:type="dxa"/>
          </w:tcPr>
          <w:p w14:paraId="540FD67E" w14:textId="77777777" w:rsidR="00D1168C" w:rsidRDefault="00D1168C" w:rsidP="001C69E1">
            <w:pPr>
              <w:pStyle w:val="Listenabsatz"/>
              <w:numPr>
                <w:ilvl w:val="0"/>
                <w:numId w:val="7"/>
              </w:numPr>
              <w:spacing w:after="0"/>
              <w:ind w:left="567" w:hanging="567"/>
              <w:rPr>
                <w:rFonts w:cs="Arial"/>
              </w:rPr>
            </w:pPr>
            <w:r w:rsidRPr="000739E4">
              <w:rPr>
                <w:rFonts w:ascii="Arial" w:hAnsi="Arial" w:cs="Arial"/>
                <w:szCs w:val="20"/>
              </w:rPr>
              <w:t>Es gilt das Recht der Bundesrepublik Deutschland. Das UN-Kaufrecht vom 11.</w:t>
            </w:r>
            <w:r w:rsidR="00695815">
              <w:rPr>
                <w:rFonts w:ascii="Arial" w:hAnsi="Arial" w:cs="Arial"/>
                <w:szCs w:val="20"/>
              </w:rPr>
              <w:t>0</w:t>
            </w:r>
            <w:r w:rsidRPr="000739E4">
              <w:rPr>
                <w:rFonts w:ascii="Arial" w:hAnsi="Arial" w:cs="Arial"/>
                <w:szCs w:val="20"/>
              </w:rPr>
              <w:t>4.1980 findet keine Anwendung</w:t>
            </w:r>
            <w:r w:rsidRPr="000739E4">
              <w:rPr>
                <w:rFonts w:cs="Arial"/>
              </w:rPr>
              <w:t>.</w:t>
            </w:r>
          </w:p>
          <w:p w14:paraId="7EA4848C" w14:textId="77777777" w:rsidR="00D1168C" w:rsidRPr="000739E4" w:rsidRDefault="00D1168C" w:rsidP="001C69E1">
            <w:pPr>
              <w:spacing w:line="260" w:lineRule="atLeast"/>
              <w:jc w:val="both"/>
              <w:rPr>
                <w:rFonts w:cs="Arial"/>
              </w:rPr>
            </w:pPr>
          </w:p>
        </w:tc>
      </w:tr>
      <w:tr w:rsidR="00D1168C" w:rsidRPr="008C7BA6" w14:paraId="34F7FFB2" w14:textId="77777777" w:rsidTr="00586B88">
        <w:trPr>
          <w:trHeight w:val="20"/>
        </w:trPr>
        <w:tc>
          <w:tcPr>
            <w:tcW w:w="9639" w:type="dxa"/>
          </w:tcPr>
          <w:p w14:paraId="640C562E" w14:textId="77777777" w:rsidR="00D1168C" w:rsidRPr="0028690A" w:rsidRDefault="00D1168C" w:rsidP="00586B88">
            <w:pPr>
              <w:pStyle w:val="Abstze"/>
              <w:numPr>
                <w:ilvl w:val="0"/>
                <w:numId w:val="0"/>
              </w:numPr>
              <w:spacing w:after="0"/>
              <w:rPr>
                <w:rFonts w:ascii="Arial" w:hAnsi="Arial" w:cs="Arial"/>
                <w:sz w:val="22"/>
                <w:szCs w:val="22"/>
              </w:rPr>
            </w:pPr>
          </w:p>
          <w:p w14:paraId="48530145"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10</w:t>
            </w:r>
            <w:r w:rsidRPr="008C7BA6">
              <w:rPr>
                <w:rFonts w:ascii="Arial" w:hAnsi="Arial" w:cs="Arial"/>
                <w:szCs w:val="22"/>
              </w:rPr>
              <w:t xml:space="preserve"> - Schriftform</w:t>
            </w:r>
          </w:p>
          <w:p w14:paraId="336496C0" w14:textId="77777777" w:rsidR="00D1168C" w:rsidRPr="008C7BA6" w:rsidRDefault="00D1168C" w:rsidP="00586B88">
            <w:pPr>
              <w:spacing w:line="260" w:lineRule="atLeast"/>
              <w:rPr>
                <w:rFonts w:cs="Arial"/>
                <w:sz w:val="22"/>
                <w:szCs w:val="22"/>
                <w:lang w:eastAsia="de-DE"/>
              </w:rPr>
            </w:pPr>
          </w:p>
        </w:tc>
      </w:tr>
      <w:tr w:rsidR="00D1168C" w:rsidRPr="00813A55" w14:paraId="09A7C6A6" w14:textId="77777777" w:rsidTr="00586B88">
        <w:trPr>
          <w:trHeight w:val="20"/>
        </w:trPr>
        <w:tc>
          <w:tcPr>
            <w:tcW w:w="9639" w:type="dxa"/>
          </w:tcPr>
          <w:p w14:paraId="29190F21" w14:textId="77777777" w:rsidR="00D1168C" w:rsidRPr="00D00685" w:rsidRDefault="00D1168C" w:rsidP="00586B88">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4166390F" w14:textId="77777777" w:rsidR="00D1168C" w:rsidRPr="00A752E3" w:rsidRDefault="00D1168C" w:rsidP="00586B88">
            <w:pPr>
              <w:spacing w:line="260" w:lineRule="atLeast"/>
              <w:rPr>
                <w:rFonts w:cs="Arial"/>
                <w:lang w:eastAsia="de-DE"/>
              </w:rPr>
            </w:pPr>
          </w:p>
        </w:tc>
      </w:tr>
      <w:tr w:rsidR="00D1168C" w:rsidRPr="008C7BA6" w14:paraId="407DAF7A" w14:textId="77777777" w:rsidTr="00586B88">
        <w:trPr>
          <w:trHeight w:val="20"/>
        </w:trPr>
        <w:tc>
          <w:tcPr>
            <w:tcW w:w="9639" w:type="dxa"/>
          </w:tcPr>
          <w:p w14:paraId="047C8BC0" w14:textId="77777777" w:rsidR="00D1168C" w:rsidRPr="0028690A" w:rsidRDefault="00865523" w:rsidP="00586B88">
            <w:pPr>
              <w:pStyle w:val="Abstze"/>
              <w:numPr>
                <w:ilvl w:val="0"/>
                <w:numId w:val="0"/>
              </w:numPr>
              <w:spacing w:after="0"/>
              <w:rPr>
                <w:rFonts w:ascii="Arial" w:hAnsi="Arial" w:cs="Arial"/>
                <w:sz w:val="22"/>
                <w:szCs w:val="22"/>
              </w:rPr>
            </w:pPr>
            <w:r>
              <w:br w:type="page"/>
            </w:r>
          </w:p>
          <w:p w14:paraId="3909F621" w14:textId="77777777" w:rsidR="00D1168C" w:rsidRPr="008C7BA6" w:rsidRDefault="00D1168C" w:rsidP="00586B88">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w:t>
            </w:r>
            <w:r>
              <w:rPr>
                <w:rFonts w:ascii="Arial" w:hAnsi="Arial" w:cs="Arial"/>
                <w:b/>
                <w:sz w:val="22"/>
                <w:szCs w:val="22"/>
              </w:rPr>
              <w:t>1</w:t>
            </w:r>
            <w:r w:rsidRPr="008C7BA6">
              <w:rPr>
                <w:rFonts w:ascii="Arial" w:hAnsi="Arial" w:cs="Arial"/>
                <w:b/>
                <w:sz w:val="22"/>
                <w:szCs w:val="22"/>
              </w:rPr>
              <w:t xml:space="preserve"> - Übertragung</w:t>
            </w:r>
          </w:p>
          <w:p w14:paraId="4E341E5D" w14:textId="77777777" w:rsidR="00D1168C" w:rsidRPr="008C7BA6" w:rsidRDefault="00D1168C" w:rsidP="00586B88">
            <w:pPr>
              <w:spacing w:line="260" w:lineRule="atLeast"/>
              <w:rPr>
                <w:rFonts w:cs="Arial"/>
                <w:sz w:val="22"/>
                <w:szCs w:val="22"/>
                <w:lang w:eastAsia="de-DE"/>
              </w:rPr>
            </w:pPr>
          </w:p>
        </w:tc>
      </w:tr>
      <w:tr w:rsidR="00D1168C" w:rsidRPr="00813A55" w14:paraId="041E0953" w14:textId="77777777" w:rsidTr="00586B88">
        <w:trPr>
          <w:trHeight w:val="20"/>
        </w:trPr>
        <w:tc>
          <w:tcPr>
            <w:tcW w:w="9639" w:type="dxa"/>
          </w:tcPr>
          <w:p w14:paraId="30C19F0F" w14:textId="77777777" w:rsidR="00D1168C" w:rsidRPr="00D00685" w:rsidRDefault="00D1168C" w:rsidP="001C69E1">
            <w:pPr>
              <w:pStyle w:val="Abstze"/>
              <w:numPr>
                <w:ilvl w:val="0"/>
                <w:numId w:val="0"/>
              </w:numPr>
              <w:spacing w:after="0"/>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0EFFBDB9" w14:textId="77777777" w:rsidR="00D1168C" w:rsidRPr="00A752E3" w:rsidRDefault="00D1168C" w:rsidP="00586B88">
            <w:pPr>
              <w:spacing w:line="260" w:lineRule="atLeast"/>
              <w:rPr>
                <w:rFonts w:cs="Arial"/>
                <w:lang w:eastAsia="de-DE"/>
              </w:rPr>
            </w:pPr>
          </w:p>
        </w:tc>
      </w:tr>
    </w:tbl>
    <w:p w14:paraId="0F586197" w14:textId="77777777" w:rsidR="001C69E1" w:rsidRDefault="001C69E1">
      <w:r>
        <w:rPr>
          <w:b/>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8C7BA6" w14:paraId="472B6C74" w14:textId="77777777" w:rsidTr="00586B88">
        <w:trPr>
          <w:trHeight w:val="20"/>
        </w:trPr>
        <w:tc>
          <w:tcPr>
            <w:tcW w:w="9639" w:type="dxa"/>
          </w:tcPr>
          <w:p w14:paraId="4CA48651" w14:textId="77777777" w:rsidR="00865523" w:rsidRDefault="00865523" w:rsidP="00586B88">
            <w:pPr>
              <w:pStyle w:val="Paragraph"/>
              <w:spacing w:before="0" w:after="0"/>
              <w:ind w:left="0" w:firstLine="0"/>
              <w:rPr>
                <w:rFonts w:ascii="Arial" w:hAnsi="Arial" w:cs="Arial"/>
                <w:szCs w:val="22"/>
              </w:rPr>
            </w:pPr>
          </w:p>
          <w:p w14:paraId="5EC1AE8F" w14:textId="77777777"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Artikel 1</w:t>
            </w:r>
            <w:r>
              <w:rPr>
                <w:rFonts w:ascii="Arial" w:hAnsi="Arial" w:cs="Arial"/>
                <w:szCs w:val="22"/>
              </w:rPr>
              <w:t>2</w:t>
            </w:r>
            <w:r w:rsidRPr="008C7BA6">
              <w:rPr>
                <w:rFonts w:ascii="Arial" w:hAnsi="Arial" w:cs="Arial"/>
                <w:szCs w:val="22"/>
              </w:rPr>
              <w:t xml:space="preserve"> - Sonstiges</w:t>
            </w:r>
          </w:p>
          <w:p w14:paraId="47529BAF" w14:textId="77777777" w:rsidR="00D1168C" w:rsidRPr="008C7BA6" w:rsidRDefault="00D1168C" w:rsidP="00586B88">
            <w:pPr>
              <w:spacing w:line="260" w:lineRule="atLeast"/>
              <w:rPr>
                <w:rFonts w:cs="Arial"/>
                <w:sz w:val="22"/>
                <w:szCs w:val="22"/>
                <w:lang w:eastAsia="de-DE"/>
              </w:rPr>
            </w:pPr>
          </w:p>
        </w:tc>
      </w:tr>
      <w:tr w:rsidR="00D1168C" w:rsidRPr="00813A55" w14:paraId="6E38F2D7" w14:textId="77777777" w:rsidTr="00586B88">
        <w:trPr>
          <w:trHeight w:val="20"/>
        </w:trPr>
        <w:tc>
          <w:tcPr>
            <w:tcW w:w="9639" w:type="dxa"/>
          </w:tcPr>
          <w:p w14:paraId="67EC7CD9" w14:textId="77777777" w:rsidR="00D1168C" w:rsidRPr="00D00685" w:rsidRDefault="00D1168C" w:rsidP="001C69E1">
            <w:pPr>
              <w:pStyle w:val="Listenabsatz"/>
              <w:numPr>
                <w:ilvl w:val="0"/>
                <w:numId w:val="11"/>
              </w:numPr>
              <w:spacing w:after="0"/>
              <w:ind w:left="567" w:hanging="567"/>
              <w:rPr>
                <w:rFonts w:ascii="Arial" w:hAnsi="Arial" w:cs="Arial"/>
                <w:szCs w:val="20"/>
              </w:rPr>
            </w:pPr>
            <w:r w:rsidRPr="00D00685">
              <w:rPr>
                <w:rFonts w:ascii="Arial" w:hAnsi="Arial" w:cs="Arial"/>
                <w:szCs w:val="20"/>
              </w:rPr>
              <w:t xml:space="preserve">Sollten eine oder mehrere Regelungen dieser Vereinbarung ganz oder teilweise unwirksam oder ganz oder teilweise undurchführbar sein oder werden, so betrifft dies nicht die Wirksamkeit oder Durchführbarkeit der übrigen Regelungen der Vereinbarung. Entsprechendes gilt für Lücken der Vereinbarung. Anstelle der unwirksamen oder </w:t>
            </w:r>
            <w:r w:rsidR="00865523">
              <w:rPr>
                <w:rFonts w:ascii="Arial" w:hAnsi="Arial" w:cs="Arial"/>
                <w:szCs w:val="20"/>
              </w:rPr>
              <w:t>un</w:t>
            </w:r>
            <w:r w:rsidRPr="00D00685">
              <w:rPr>
                <w:rFonts w:ascii="Arial" w:hAnsi="Arial" w:cs="Arial"/>
                <w:szCs w:val="20"/>
              </w:rPr>
              <w:t>durchführbaren Bestimmung werden die Parteien eine wirksame Regelung vereinbaren,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767E8172" w14:textId="77777777" w:rsidR="00D1168C" w:rsidRPr="00A752E3" w:rsidRDefault="00D1168C" w:rsidP="001C69E1">
            <w:pPr>
              <w:spacing w:line="260" w:lineRule="atLeast"/>
              <w:jc w:val="both"/>
              <w:rPr>
                <w:rFonts w:cs="Arial"/>
                <w:lang w:eastAsia="de-DE"/>
              </w:rPr>
            </w:pPr>
          </w:p>
        </w:tc>
      </w:tr>
      <w:tr w:rsidR="00D1168C" w:rsidRPr="0031026E" w14:paraId="41840CF2" w14:textId="77777777" w:rsidTr="00586B88">
        <w:trPr>
          <w:trHeight w:val="20"/>
        </w:trPr>
        <w:tc>
          <w:tcPr>
            <w:tcW w:w="9639" w:type="dxa"/>
          </w:tcPr>
          <w:p w14:paraId="19C908D6" w14:textId="77777777" w:rsidR="00D1168C" w:rsidRPr="00014C8B" w:rsidRDefault="00D1168C" w:rsidP="001C69E1">
            <w:pPr>
              <w:pStyle w:val="Listenabsatz"/>
              <w:numPr>
                <w:ilvl w:val="0"/>
                <w:numId w:val="11"/>
              </w:numPr>
              <w:spacing w:after="0"/>
              <w:ind w:left="567" w:hanging="567"/>
              <w:rPr>
                <w:rFonts w:ascii="Arial" w:hAnsi="Arial" w:cs="Arial"/>
              </w:rPr>
            </w:pPr>
            <w:r w:rsidRPr="00014C8B">
              <w:rPr>
                <w:rFonts w:ascii="Arial" w:hAnsi="Arial" w:cs="Arial"/>
              </w:rPr>
              <w:t>Diese Ve</w:t>
            </w:r>
            <w:r w:rsidR="001C69E1">
              <w:rPr>
                <w:rFonts w:ascii="Arial" w:hAnsi="Arial" w:cs="Arial"/>
              </w:rPr>
              <w:t>reinbarung geht allen vorher ge</w:t>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5064AE6B" w14:textId="77777777" w:rsidR="00D1168C" w:rsidRPr="00014C8B" w:rsidRDefault="00D1168C" w:rsidP="001C69E1">
            <w:pPr>
              <w:spacing w:line="260" w:lineRule="atLeast"/>
              <w:jc w:val="both"/>
              <w:rPr>
                <w:rFonts w:cs="Arial"/>
                <w:lang w:eastAsia="de-DE"/>
              </w:rPr>
            </w:pPr>
          </w:p>
        </w:tc>
      </w:tr>
      <w:tr w:rsidR="00D1168C" w:rsidRPr="0031026E" w14:paraId="296560F1" w14:textId="77777777" w:rsidTr="00586B88">
        <w:trPr>
          <w:trHeight w:val="20"/>
        </w:trPr>
        <w:tc>
          <w:tcPr>
            <w:tcW w:w="9639" w:type="dxa"/>
          </w:tcPr>
          <w:p w14:paraId="01F18419" w14:textId="77777777" w:rsidR="00D1168C" w:rsidRPr="00014C8B" w:rsidRDefault="00D1168C" w:rsidP="001C69E1">
            <w:pPr>
              <w:pStyle w:val="Listenabsatz"/>
              <w:numPr>
                <w:ilvl w:val="0"/>
                <w:numId w:val="11"/>
              </w:numPr>
              <w:spacing w:after="0"/>
              <w:ind w:left="567" w:hanging="567"/>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r w:rsidR="00D1168C" w:rsidRPr="0031026E" w14:paraId="3439B75B" w14:textId="77777777" w:rsidTr="00586B88">
        <w:trPr>
          <w:trHeight w:val="20"/>
        </w:trPr>
        <w:tc>
          <w:tcPr>
            <w:tcW w:w="9639" w:type="dxa"/>
          </w:tcPr>
          <w:p w14:paraId="3144B753" w14:textId="77777777" w:rsidR="00D1168C" w:rsidRPr="0028690A" w:rsidRDefault="00D1168C" w:rsidP="00586B88">
            <w:pPr>
              <w:spacing w:line="260" w:lineRule="atLeast"/>
              <w:rPr>
                <w:rFonts w:cs="Arial"/>
                <w:lang w:eastAsia="de-DE"/>
              </w:rPr>
            </w:pPr>
          </w:p>
        </w:tc>
      </w:tr>
      <w:tr w:rsidR="00D1168C" w:rsidRPr="00897DD6" w14:paraId="1479F504" w14:textId="77777777" w:rsidTr="00586B88">
        <w:trPr>
          <w:trHeight w:val="20"/>
        </w:trPr>
        <w:tc>
          <w:tcPr>
            <w:tcW w:w="9639" w:type="dxa"/>
          </w:tcPr>
          <w:p w14:paraId="253BED7C" w14:textId="77777777" w:rsidR="00D1168C" w:rsidRPr="0028690A" w:rsidRDefault="00D1168C" w:rsidP="00586B88">
            <w:pPr>
              <w:pStyle w:val="Abstze"/>
              <w:numPr>
                <w:ilvl w:val="0"/>
                <w:numId w:val="0"/>
              </w:numPr>
              <w:spacing w:after="0" w:line="240" w:lineRule="auto"/>
              <w:rPr>
                <w:rFonts w:ascii="Arial" w:hAnsi="Arial" w:cs="Arial"/>
                <w:szCs w:val="20"/>
              </w:rPr>
            </w:pPr>
            <w:permStart w:id="655703691" w:edGrp="everyone" w:colFirst="0" w:colLast="0"/>
          </w:p>
          <w:p w14:paraId="07127635" w14:textId="05F23676" w:rsidR="009C0CE9" w:rsidRPr="009C0CE9" w:rsidRDefault="009C0CE9" w:rsidP="009C0CE9">
            <w:pPr>
              <w:pStyle w:val="Abstze"/>
              <w:numPr>
                <w:ilvl w:val="0"/>
                <w:numId w:val="0"/>
              </w:numPr>
              <w:spacing w:after="0" w:line="240" w:lineRule="atLeast"/>
              <w:rPr>
                <w:rFonts w:ascii="Arial" w:hAnsi="Arial" w:cs="Arial"/>
                <w:szCs w:val="20"/>
              </w:rPr>
            </w:pPr>
            <w:r w:rsidRPr="009C0CE9">
              <w:rPr>
                <w:rFonts w:ascii="Arial" w:hAnsi="Arial" w:cs="Arial"/>
                <w:szCs w:val="20"/>
                <w:highlight w:val="yellow"/>
              </w:rPr>
              <w:t>______, _____._____._____</w:t>
            </w:r>
          </w:p>
          <w:p w14:paraId="6A4D7FA8" w14:textId="77777777" w:rsidR="009C0CE9" w:rsidRPr="00AF0DF9" w:rsidRDefault="009C0CE9" w:rsidP="009C0CE9">
            <w:pPr>
              <w:pStyle w:val="Abstze"/>
              <w:numPr>
                <w:ilvl w:val="0"/>
                <w:numId w:val="0"/>
              </w:numPr>
              <w:spacing w:after="0" w:line="240" w:lineRule="atLeast"/>
            </w:pPr>
            <w:r>
              <w:rPr>
                <w:rFonts w:ascii="Arial" w:hAnsi="Arial" w:cs="Arial"/>
                <w:szCs w:val="20"/>
              </w:rPr>
              <w:t>Ort, Datum</w:t>
            </w:r>
            <w:r w:rsidRPr="009C0CE9">
              <w:rPr>
                <w:rFonts w:ascii="Arial" w:hAnsi="Arial" w:cs="Arial"/>
                <w:szCs w:val="20"/>
              </w:rPr>
              <w:t xml:space="preserve"> </w:t>
            </w:r>
          </w:p>
          <w:p w14:paraId="3A2736E9" w14:textId="77777777" w:rsidR="00D1168C" w:rsidRDefault="00D1168C" w:rsidP="00586B88">
            <w:pPr>
              <w:pStyle w:val="Abstze"/>
              <w:numPr>
                <w:ilvl w:val="0"/>
                <w:numId w:val="0"/>
              </w:numPr>
              <w:spacing w:after="0"/>
              <w:rPr>
                <w:rFonts w:ascii="Arial" w:hAnsi="Arial" w:cs="Arial"/>
                <w:szCs w:val="20"/>
              </w:rPr>
            </w:pPr>
          </w:p>
          <w:p w14:paraId="0D724B2F" w14:textId="77777777" w:rsidR="009C0CE9" w:rsidRPr="00AF787E" w:rsidRDefault="009C0CE9" w:rsidP="00586B88">
            <w:pPr>
              <w:pStyle w:val="Abstze"/>
              <w:numPr>
                <w:ilvl w:val="0"/>
                <w:numId w:val="0"/>
              </w:numPr>
              <w:spacing w:after="0"/>
              <w:rPr>
                <w:rFonts w:ascii="Arial" w:hAnsi="Arial" w:cs="Arial"/>
                <w:szCs w:val="20"/>
              </w:rPr>
            </w:pPr>
          </w:p>
          <w:p w14:paraId="74BB08F0" w14:textId="77777777" w:rsidR="00D1168C" w:rsidRPr="00AF787E" w:rsidRDefault="00D1168C" w:rsidP="00586B88">
            <w:pPr>
              <w:pStyle w:val="Abstze"/>
              <w:numPr>
                <w:ilvl w:val="0"/>
                <w:numId w:val="0"/>
              </w:numPr>
              <w:spacing w:after="0"/>
              <w:rPr>
                <w:rFonts w:ascii="Arial" w:hAnsi="Arial" w:cs="Arial"/>
                <w:szCs w:val="20"/>
              </w:rPr>
            </w:pPr>
            <w:r w:rsidRPr="00AF787E">
              <w:rPr>
                <w:rFonts w:ascii="Arial" w:hAnsi="Arial" w:cs="Arial"/>
                <w:szCs w:val="20"/>
              </w:rPr>
              <w:t>__________________________</w:t>
            </w:r>
          </w:p>
          <w:p w14:paraId="4652C83D" w14:textId="77777777" w:rsidR="00D1168C" w:rsidRPr="00AF787E" w:rsidRDefault="00D1168C" w:rsidP="00586B88">
            <w:pPr>
              <w:pStyle w:val="Abstze"/>
              <w:numPr>
                <w:ilvl w:val="0"/>
                <w:numId w:val="0"/>
              </w:numPr>
              <w:spacing w:after="0"/>
              <w:rPr>
                <w:rFonts w:ascii="Arial" w:hAnsi="Arial" w:cs="Arial"/>
                <w:szCs w:val="20"/>
                <w:highlight w:val="yellow"/>
              </w:rPr>
            </w:pPr>
            <w:r w:rsidRPr="00AF787E">
              <w:rPr>
                <w:rFonts w:ascii="Arial" w:hAnsi="Arial" w:cs="Arial"/>
                <w:szCs w:val="20"/>
                <w:highlight w:val="yellow"/>
              </w:rPr>
              <w:t xml:space="preserve">Name </w:t>
            </w:r>
            <w:r w:rsidR="00F00A00">
              <w:rPr>
                <w:rFonts w:ascii="Arial" w:hAnsi="Arial" w:cs="Arial"/>
                <w:szCs w:val="20"/>
                <w:highlight w:val="yellow"/>
              </w:rPr>
              <w:t>des Unternehmens</w:t>
            </w:r>
            <w:r>
              <w:rPr>
                <w:rFonts w:ascii="Arial" w:hAnsi="Arial" w:cs="Arial"/>
                <w:szCs w:val="20"/>
                <w:highlight w:val="yellow"/>
              </w:rPr>
              <w:t xml:space="preserve"> </w:t>
            </w:r>
          </w:p>
          <w:p w14:paraId="70D8991C" w14:textId="77777777" w:rsidR="00D1168C" w:rsidRDefault="00D1168C" w:rsidP="00586B88">
            <w:pPr>
              <w:pStyle w:val="Abstze"/>
              <w:numPr>
                <w:ilvl w:val="0"/>
                <w:numId w:val="0"/>
              </w:numPr>
              <w:spacing w:after="0"/>
              <w:rPr>
                <w:rFonts w:ascii="Arial" w:hAnsi="Arial" w:cs="Arial"/>
                <w:szCs w:val="20"/>
              </w:rPr>
            </w:pPr>
          </w:p>
          <w:p w14:paraId="4076B5EB" w14:textId="77777777" w:rsidR="009C0CE9" w:rsidRDefault="009C0CE9" w:rsidP="00586B88">
            <w:pPr>
              <w:pStyle w:val="Abstze"/>
              <w:numPr>
                <w:ilvl w:val="0"/>
                <w:numId w:val="0"/>
              </w:numPr>
              <w:spacing w:after="0"/>
              <w:rPr>
                <w:rFonts w:ascii="Arial" w:hAnsi="Arial" w:cs="Arial"/>
                <w:szCs w:val="20"/>
              </w:rPr>
            </w:pPr>
          </w:p>
          <w:p w14:paraId="252DBDD5" w14:textId="77777777" w:rsidR="009C0CE9" w:rsidRPr="0028690A" w:rsidRDefault="009C0CE9" w:rsidP="00586B88">
            <w:pPr>
              <w:pStyle w:val="Abstze"/>
              <w:numPr>
                <w:ilvl w:val="0"/>
                <w:numId w:val="0"/>
              </w:numPr>
              <w:spacing w:after="0"/>
              <w:rPr>
                <w:rFonts w:ascii="Arial" w:hAnsi="Arial" w:cs="Arial"/>
                <w:szCs w:val="20"/>
              </w:rPr>
            </w:pPr>
          </w:p>
          <w:p w14:paraId="66D85677" w14:textId="77777777" w:rsidR="00D1168C" w:rsidRPr="00A752E3" w:rsidRDefault="00D1168C" w:rsidP="00586B88">
            <w:pPr>
              <w:rPr>
                <w:rFonts w:cs="Arial"/>
                <w:lang w:eastAsia="de-DE"/>
              </w:rPr>
            </w:pPr>
          </w:p>
        </w:tc>
      </w:tr>
      <w:tr w:rsidR="00D1168C" w:rsidRPr="00897DD6" w14:paraId="0AE95AC1" w14:textId="77777777" w:rsidTr="00586B88">
        <w:trPr>
          <w:trHeight w:val="20"/>
        </w:trPr>
        <w:tc>
          <w:tcPr>
            <w:tcW w:w="9639" w:type="dxa"/>
          </w:tcPr>
          <w:p w14:paraId="25B94F81" w14:textId="77777777" w:rsidR="00D1168C" w:rsidRPr="00604D33" w:rsidRDefault="009C0CE9" w:rsidP="00586B88">
            <w:pPr>
              <w:pStyle w:val="Abstze"/>
              <w:numPr>
                <w:ilvl w:val="0"/>
                <w:numId w:val="0"/>
              </w:numPr>
              <w:spacing w:after="0"/>
              <w:rPr>
                <w:rFonts w:ascii="Arial" w:hAnsi="Arial" w:cs="Arial"/>
                <w:szCs w:val="20"/>
                <w:lang w:val="en-US"/>
              </w:rPr>
            </w:pPr>
            <w:permStart w:id="1573129889" w:edGrp="everyone" w:colFirst="0" w:colLast="0"/>
            <w:permEnd w:id="655703691"/>
            <w:r>
              <w:rPr>
                <w:rFonts w:ascii="Arial" w:hAnsi="Arial" w:cs="Arial"/>
                <w:szCs w:val="20"/>
                <w:lang w:val="en-US"/>
              </w:rPr>
              <w:t>____________________________</w:t>
            </w:r>
          </w:p>
          <w:p w14:paraId="512BD26B" w14:textId="77777777" w:rsidR="00D1168C" w:rsidRPr="00AF787E" w:rsidRDefault="00D1168C" w:rsidP="00586B88">
            <w:pPr>
              <w:pStyle w:val="Abstze"/>
              <w:numPr>
                <w:ilvl w:val="0"/>
                <w:numId w:val="0"/>
              </w:numPr>
              <w:spacing w:after="0"/>
              <w:rPr>
                <w:rFonts w:ascii="Arial" w:hAnsi="Arial" w:cs="Arial"/>
                <w:szCs w:val="20"/>
              </w:rPr>
            </w:pPr>
            <w:r w:rsidRPr="00604D33">
              <w:rPr>
                <w:rFonts w:ascii="Arial" w:hAnsi="Arial" w:cs="Arial"/>
                <w:szCs w:val="20"/>
                <w:highlight w:val="yellow"/>
              </w:rPr>
              <w:t>Unterschrift</w:t>
            </w:r>
          </w:p>
          <w:p w14:paraId="19342273" w14:textId="77777777" w:rsidR="00D1168C" w:rsidRPr="00AF787E" w:rsidRDefault="00D1168C" w:rsidP="00586B88">
            <w:pPr>
              <w:pStyle w:val="Abstze"/>
              <w:numPr>
                <w:ilvl w:val="0"/>
                <w:numId w:val="0"/>
              </w:numPr>
              <w:spacing w:after="0"/>
              <w:rPr>
                <w:rFonts w:ascii="Arial" w:hAnsi="Arial" w:cs="Arial"/>
                <w:szCs w:val="20"/>
              </w:rPr>
            </w:pPr>
          </w:p>
          <w:p w14:paraId="001A4583" w14:textId="77777777" w:rsidR="00D1168C" w:rsidRPr="00A752E3" w:rsidRDefault="00D1168C" w:rsidP="00586B88">
            <w:pPr>
              <w:rPr>
                <w:rFonts w:cs="Arial"/>
                <w:lang w:eastAsia="de-DE"/>
              </w:rPr>
            </w:pPr>
          </w:p>
        </w:tc>
      </w:tr>
      <w:tr w:rsidR="00D1168C" w:rsidRPr="00897DD6" w14:paraId="60A0BE82" w14:textId="77777777" w:rsidTr="00586B88">
        <w:trPr>
          <w:trHeight w:val="20"/>
        </w:trPr>
        <w:tc>
          <w:tcPr>
            <w:tcW w:w="9639" w:type="dxa"/>
          </w:tcPr>
          <w:p w14:paraId="354B5F61" w14:textId="77777777" w:rsidR="00D1168C" w:rsidRPr="00AF787E" w:rsidRDefault="00D1168C" w:rsidP="00586B88">
            <w:pPr>
              <w:pStyle w:val="Abstze"/>
              <w:numPr>
                <w:ilvl w:val="0"/>
                <w:numId w:val="0"/>
              </w:numPr>
              <w:spacing w:after="0"/>
              <w:rPr>
                <w:rFonts w:ascii="Arial" w:hAnsi="Arial" w:cs="Arial"/>
                <w:szCs w:val="20"/>
              </w:rPr>
            </w:pPr>
            <w:permStart w:id="1106277982" w:edGrp="everyone" w:colFirst="0" w:colLast="0"/>
            <w:permEnd w:id="1573129889"/>
            <w:r w:rsidRPr="00AF787E">
              <w:rPr>
                <w:rFonts w:ascii="Arial" w:hAnsi="Arial" w:cs="Arial"/>
                <w:szCs w:val="20"/>
              </w:rPr>
              <w:t>____________________________</w:t>
            </w:r>
          </w:p>
          <w:p w14:paraId="2796D61C" w14:textId="77777777" w:rsidR="00D1168C" w:rsidRPr="00A752E3" w:rsidRDefault="00D1168C" w:rsidP="00586B88">
            <w:pPr>
              <w:rPr>
                <w:rFonts w:cs="Arial"/>
                <w:lang w:eastAsia="de-DE"/>
              </w:rPr>
            </w:pPr>
            <w:proofErr w:type="spellStart"/>
            <w:r>
              <w:rPr>
                <w:rFonts w:cs="Arial"/>
                <w:highlight w:val="yellow"/>
                <w:lang w:val="en-US"/>
              </w:rPr>
              <w:t>Unterzeichne</w:t>
            </w:r>
            <w:r w:rsidRPr="00B02821">
              <w:rPr>
                <w:rFonts w:cs="Arial"/>
                <w:highlight w:val="yellow"/>
                <w:lang w:val="en-US"/>
              </w:rPr>
              <w:t>r</w:t>
            </w:r>
            <w:proofErr w:type="spellEnd"/>
          </w:p>
        </w:tc>
      </w:tr>
      <w:permEnd w:id="1106277982"/>
    </w:tbl>
    <w:p w14:paraId="11B96A9E" w14:textId="77777777" w:rsidR="00FA34F3" w:rsidRPr="00737F60" w:rsidRDefault="00FA34F3" w:rsidP="00BE6C1E">
      <w:pPr>
        <w:rPr>
          <w:rFonts w:cs="Arial"/>
        </w:rPr>
      </w:pPr>
    </w:p>
    <w:sectPr w:rsidR="00FA34F3" w:rsidRPr="00737F60" w:rsidSect="00D1168C">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E48" w14:textId="77777777" w:rsidR="00BB72B1" w:rsidRDefault="00BB72B1" w:rsidP="00D1168C">
      <w:pPr>
        <w:spacing w:line="240" w:lineRule="auto"/>
      </w:pPr>
      <w:r>
        <w:separator/>
      </w:r>
    </w:p>
  </w:endnote>
  <w:endnote w:type="continuationSeparator" w:id="0">
    <w:p w14:paraId="587CCBD4" w14:textId="77777777" w:rsidR="00BB72B1" w:rsidRDefault="00BB72B1" w:rsidP="00D1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DE78" w14:textId="77777777" w:rsidR="00BB72B1" w:rsidRDefault="00BB72B1" w:rsidP="00D1168C">
      <w:pPr>
        <w:spacing w:line="240" w:lineRule="auto"/>
      </w:pPr>
      <w:r>
        <w:separator/>
      </w:r>
    </w:p>
  </w:footnote>
  <w:footnote w:type="continuationSeparator" w:id="0">
    <w:p w14:paraId="4FF037BE" w14:textId="77777777" w:rsidR="00BB72B1" w:rsidRDefault="00BB72B1" w:rsidP="00D11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95BB" w14:textId="77777777" w:rsidR="00DA6AA1" w:rsidRDefault="00BB068B" w:rsidP="00DA6AA1">
    <w:r>
      <w:rPr>
        <w:rFonts w:cs="Arial"/>
        <w:noProof/>
      </w:rPr>
      <w:drawing>
        <wp:anchor distT="0" distB="0" distL="114300" distR="114300" simplePos="0" relativeHeight="251663360" behindDoc="0" locked="0" layoutInCell="1" allowOverlap="1" wp14:anchorId="261A797A" wp14:editId="60B30553">
          <wp:simplePos x="0" y="0"/>
          <wp:positionH relativeFrom="column">
            <wp:posOffset>0</wp:posOffset>
          </wp:positionH>
          <wp:positionV relativeFrom="paragraph">
            <wp:posOffset>-635</wp:posOffset>
          </wp:positionV>
          <wp:extent cx="2052000" cy="651600"/>
          <wp:effectExtent l="0" t="0" r="5715" b="0"/>
          <wp:wrapNone/>
          <wp:docPr id="4" name="Grafik 4"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AA1">
      <w:rPr>
        <w:noProof/>
        <w:lang w:eastAsia="de-DE"/>
      </w:rPr>
      <mc:AlternateContent>
        <mc:Choice Requires="wps">
          <w:drawing>
            <wp:anchor distT="0" distB="0" distL="114300" distR="114300" simplePos="0" relativeHeight="251661312" behindDoc="0" locked="0" layoutInCell="1" allowOverlap="1" wp14:anchorId="4EE03058" wp14:editId="09AB8F17">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DA6AA1" w14:paraId="381A4954" w14:textId="77777777" w:rsidTr="00786DE2">
                            <w:tc>
                              <w:tcPr>
                                <w:tcW w:w="4452" w:type="dxa"/>
                                <w:shd w:val="clear" w:color="auto" w:fill="auto"/>
                              </w:tcPr>
                              <w:p w14:paraId="3FF64E3B" w14:textId="77777777" w:rsidR="00DA6AA1" w:rsidRPr="00507862" w:rsidRDefault="00DA6AA1" w:rsidP="00496243">
                                <w:pPr>
                                  <w:tabs>
                                    <w:tab w:val="left" w:pos="1474"/>
                                  </w:tabs>
                                  <w:spacing w:line="210" w:lineRule="exact"/>
                                  <w:ind w:left="1474" w:hanging="1474"/>
                                  <w:rPr>
                                    <w:rStyle w:val="Huisstijl-Gegeven"/>
                                  </w:rPr>
                                </w:pPr>
                                <w:bookmarkStart w:id="0" w:name="bmGegevens2" w:colFirst="0" w:colLast="0"/>
                                <w:r w:rsidRPr="00507862">
                                  <w:rPr>
                                    <w:rStyle w:val="Huisstijl-Gegeven"/>
                                  </w:rPr>
                                  <w:tab/>
                                  <w:t>TenneT O</w:t>
                                </w:r>
                                <w:r w:rsidR="00BB068B">
                                  <w:rPr>
                                    <w:rStyle w:val="Huisstijl-Gegeven"/>
                                  </w:rPr>
                                  <w:t>ffshore</w:t>
                                </w:r>
                                <w:r w:rsidRPr="00507862">
                                  <w:rPr>
                                    <w:rStyle w:val="Huisstijl-Gegeven"/>
                                  </w:rPr>
                                  <w:t xml:space="preserve"> </w:t>
                                </w:r>
                                <w:r>
                                  <w:rPr>
                                    <w:rStyle w:val="Huisstijl-Gegeven"/>
                                  </w:rPr>
                                  <w:t>GmbH</w:t>
                                </w:r>
                              </w:p>
                              <w:p w14:paraId="6723F67D" w14:textId="77777777" w:rsidR="00DA6AA1" w:rsidRPr="00507862" w:rsidRDefault="00DA6AA1"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Pr>
                                    <w:rStyle w:val="Huisstijl-Gegeven"/>
                                  </w:rPr>
                                  <w:fldChar w:fldCharType="begin"/>
                                </w:r>
                                <w:r>
                                  <w:rPr>
                                    <w:rStyle w:val="Huisstijl-Gegeven"/>
                                  </w:rPr>
                                  <w:instrText xml:space="preserve"> DATE   \* MERGEFORMAT </w:instrText>
                                </w:r>
                                <w:r>
                                  <w:rPr>
                                    <w:rStyle w:val="Huisstijl-Gegeven"/>
                                  </w:rPr>
                                  <w:fldChar w:fldCharType="separate"/>
                                </w:r>
                                <w:r w:rsidR="00EF03DE">
                                  <w:rPr>
                                    <w:rStyle w:val="Huisstijl-Gegeven"/>
                                    <w:noProof/>
                                  </w:rPr>
                                  <w:t>15.02.2023</w:t>
                                </w:r>
                                <w:r>
                                  <w:rPr>
                                    <w:rStyle w:val="Huisstijl-Gegeven"/>
                                  </w:rPr>
                                  <w:fldChar w:fldCharType="end"/>
                                </w:r>
                              </w:p>
                              <w:p w14:paraId="69B3F711" w14:textId="77777777" w:rsidR="00DA6AA1" w:rsidRPr="00507862" w:rsidRDefault="00DA6AA1" w:rsidP="00F63AE6">
                                <w:pPr>
                                  <w:tabs>
                                    <w:tab w:val="left" w:pos="1474"/>
                                  </w:tabs>
                                  <w:spacing w:line="210" w:lineRule="exact"/>
                                  <w:ind w:left="1474" w:hanging="1474"/>
                                  <w:rPr>
                                    <w:rStyle w:val="Huisstijl-Gegeven"/>
                                  </w:rPr>
                                </w:pPr>
                                <w:r>
                                  <w:rPr>
                                    <w:rStyle w:val="Huisstijl-Kopje"/>
                                  </w:rPr>
                                  <w:t>Seite</w:t>
                                </w:r>
                                <w:r w:rsidRPr="00E615D4">
                                  <w:rPr>
                                    <w:rStyle w:val="Huisstijl-Kopje"/>
                                    <w:sz w:val="17"/>
                                    <w:szCs w:val="17"/>
                                  </w:rPr>
                                  <w:tab/>
                                </w:r>
                                <w:r w:rsidRPr="00E615D4">
                                  <w:rPr>
                                    <w:rStyle w:val="Huisstijl-Gegeven"/>
                                    <w:szCs w:val="17"/>
                                  </w:rPr>
                                  <w:fldChar w:fldCharType="begin"/>
                                </w:r>
                                <w:r w:rsidRPr="00E615D4">
                                  <w:rPr>
                                    <w:rStyle w:val="Huisstijl-Gegeven"/>
                                    <w:szCs w:val="17"/>
                                  </w:rPr>
                                  <w:instrText xml:space="preserve"> PAGE  \* MERGEFORMAT </w:instrText>
                                </w:r>
                                <w:r w:rsidRPr="00E615D4">
                                  <w:rPr>
                                    <w:rStyle w:val="Huisstijl-Gegeven"/>
                                    <w:szCs w:val="17"/>
                                  </w:rPr>
                                  <w:fldChar w:fldCharType="separate"/>
                                </w:r>
                                <w:r w:rsidR="00143410">
                                  <w:rPr>
                                    <w:rStyle w:val="Huisstijl-Gegeven"/>
                                    <w:noProof/>
                                    <w:szCs w:val="17"/>
                                  </w:rPr>
                                  <w:t>3</w:t>
                                </w:r>
                                <w:r w:rsidRPr="00E615D4">
                                  <w:rPr>
                                    <w:rStyle w:val="Huisstijl-Gegeven"/>
                                    <w:szCs w:val="17"/>
                                  </w:rPr>
                                  <w:fldChar w:fldCharType="end"/>
                                </w:r>
                                <w:r w:rsidRPr="00E615D4">
                                  <w:rPr>
                                    <w:rStyle w:val="Huisstijl-Gegeven"/>
                                    <w:szCs w:val="17"/>
                                  </w:rPr>
                                  <w:t xml:space="preserve"> von </w:t>
                                </w:r>
                                <w:r>
                                  <w:rPr>
                                    <w:rStyle w:val="Huisstijl-Gegeven"/>
                                    <w:szCs w:val="17"/>
                                  </w:rPr>
                                  <w:fldChar w:fldCharType="begin"/>
                                </w:r>
                                <w:r>
                                  <w:rPr>
                                    <w:rStyle w:val="Huisstijl-Gegeven"/>
                                    <w:szCs w:val="17"/>
                                  </w:rPr>
                                  <w:instrText xml:space="preserve"> NUMPAGES  \* Arabic  \* MERGEFORMAT </w:instrText>
                                </w:r>
                                <w:r>
                                  <w:rPr>
                                    <w:rStyle w:val="Huisstijl-Gegeven"/>
                                    <w:szCs w:val="17"/>
                                  </w:rPr>
                                  <w:fldChar w:fldCharType="separate"/>
                                </w:r>
                                <w:r w:rsidR="00143410">
                                  <w:rPr>
                                    <w:rStyle w:val="Huisstijl-Gegeven"/>
                                    <w:noProof/>
                                    <w:szCs w:val="17"/>
                                  </w:rPr>
                                  <w:t>6</w:t>
                                </w:r>
                                <w:r>
                                  <w:rPr>
                                    <w:rStyle w:val="Huisstijl-Gegeven"/>
                                    <w:szCs w:val="17"/>
                                  </w:rPr>
                                  <w:fldChar w:fldCharType="end"/>
                                </w:r>
                              </w:p>
                            </w:tc>
                          </w:tr>
                          <w:bookmarkEnd w:id="0"/>
                        </w:tbl>
                        <w:p w14:paraId="637BE28C" w14:textId="77777777" w:rsidR="00DA6AA1" w:rsidRDefault="00DA6AA1" w:rsidP="00DA6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03058"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DA6AA1" w14:paraId="381A4954" w14:textId="77777777" w:rsidTr="00786DE2">
                      <w:tc>
                        <w:tcPr>
                          <w:tcW w:w="4452" w:type="dxa"/>
                          <w:shd w:val="clear" w:color="auto" w:fill="auto"/>
                        </w:tcPr>
                        <w:p w14:paraId="3FF64E3B" w14:textId="77777777" w:rsidR="00DA6AA1" w:rsidRPr="00507862" w:rsidRDefault="00DA6AA1"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TenneT O</w:t>
                          </w:r>
                          <w:r w:rsidR="00BB068B">
                            <w:rPr>
                              <w:rStyle w:val="Huisstijl-Gegeven"/>
                            </w:rPr>
                            <w:t>ffshore</w:t>
                          </w:r>
                          <w:r w:rsidRPr="00507862">
                            <w:rPr>
                              <w:rStyle w:val="Huisstijl-Gegeven"/>
                            </w:rPr>
                            <w:t xml:space="preserve"> </w:t>
                          </w:r>
                          <w:r>
                            <w:rPr>
                              <w:rStyle w:val="Huisstijl-Gegeven"/>
                            </w:rPr>
                            <w:t>GmbH</w:t>
                          </w:r>
                        </w:p>
                        <w:p w14:paraId="6723F67D" w14:textId="77777777" w:rsidR="00DA6AA1" w:rsidRPr="00507862" w:rsidRDefault="00DA6AA1"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Pr>
                              <w:rStyle w:val="Huisstijl-Gegeven"/>
                            </w:rPr>
                            <w:fldChar w:fldCharType="begin"/>
                          </w:r>
                          <w:r>
                            <w:rPr>
                              <w:rStyle w:val="Huisstijl-Gegeven"/>
                            </w:rPr>
                            <w:instrText xml:space="preserve"> DATE   \* MERGEFORMAT </w:instrText>
                          </w:r>
                          <w:r>
                            <w:rPr>
                              <w:rStyle w:val="Huisstijl-Gegeven"/>
                            </w:rPr>
                            <w:fldChar w:fldCharType="separate"/>
                          </w:r>
                          <w:r w:rsidR="00EF03DE">
                            <w:rPr>
                              <w:rStyle w:val="Huisstijl-Gegeven"/>
                              <w:noProof/>
                            </w:rPr>
                            <w:t>15.02.2023</w:t>
                          </w:r>
                          <w:r>
                            <w:rPr>
                              <w:rStyle w:val="Huisstijl-Gegeven"/>
                            </w:rPr>
                            <w:fldChar w:fldCharType="end"/>
                          </w:r>
                        </w:p>
                        <w:p w14:paraId="69B3F711" w14:textId="77777777" w:rsidR="00DA6AA1" w:rsidRPr="00507862" w:rsidRDefault="00DA6AA1" w:rsidP="00F63AE6">
                          <w:pPr>
                            <w:tabs>
                              <w:tab w:val="left" w:pos="1474"/>
                            </w:tabs>
                            <w:spacing w:line="210" w:lineRule="exact"/>
                            <w:ind w:left="1474" w:hanging="1474"/>
                            <w:rPr>
                              <w:rStyle w:val="Huisstijl-Gegeven"/>
                            </w:rPr>
                          </w:pPr>
                          <w:r>
                            <w:rPr>
                              <w:rStyle w:val="Huisstijl-Kopje"/>
                            </w:rPr>
                            <w:t>Seite</w:t>
                          </w:r>
                          <w:r w:rsidRPr="00E615D4">
                            <w:rPr>
                              <w:rStyle w:val="Huisstijl-Kopje"/>
                              <w:sz w:val="17"/>
                              <w:szCs w:val="17"/>
                            </w:rPr>
                            <w:tab/>
                          </w:r>
                          <w:r w:rsidRPr="00E615D4">
                            <w:rPr>
                              <w:rStyle w:val="Huisstijl-Gegeven"/>
                              <w:szCs w:val="17"/>
                            </w:rPr>
                            <w:fldChar w:fldCharType="begin"/>
                          </w:r>
                          <w:r w:rsidRPr="00E615D4">
                            <w:rPr>
                              <w:rStyle w:val="Huisstijl-Gegeven"/>
                              <w:szCs w:val="17"/>
                            </w:rPr>
                            <w:instrText xml:space="preserve"> PAGE  \* MERGEFORMAT </w:instrText>
                          </w:r>
                          <w:r w:rsidRPr="00E615D4">
                            <w:rPr>
                              <w:rStyle w:val="Huisstijl-Gegeven"/>
                              <w:szCs w:val="17"/>
                            </w:rPr>
                            <w:fldChar w:fldCharType="separate"/>
                          </w:r>
                          <w:r w:rsidR="00143410">
                            <w:rPr>
                              <w:rStyle w:val="Huisstijl-Gegeven"/>
                              <w:noProof/>
                              <w:szCs w:val="17"/>
                            </w:rPr>
                            <w:t>3</w:t>
                          </w:r>
                          <w:r w:rsidRPr="00E615D4">
                            <w:rPr>
                              <w:rStyle w:val="Huisstijl-Gegeven"/>
                              <w:szCs w:val="17"/>
                            </w:rPr>
                            <w:fldChar w:fldCharType="end"/>
                          </w:r>
                          <w:r w:rsidRPr="00E615D4">
                            <w:rPr>
                              <w:rStyle w:val="Huisstijl-Gegeven"/>
                              <w:szCs w:val="17"/>
                            </w:rPr>
                            <w:t xml:space="preserve"> von </w:t>
                          </w:r>
                          <w:r>
                            <w:rPr>
                              <w:rStyle w:val="Huisstijl-Gegeven"/>
                              <w:szCs w:val="17"/>
                            </w:rPr>
                            <w:fldChar w:fldCharType="begin"/>
                          </w:r>
                          <w:r>
                            <w:rPr>
                              <w:rStyle w:val="Huisstijl-Gegeven"/>
                              <w:szCs w:val="17"/>
                            </w:rPr>
                            <w:instrText xml:space="preserve"> NUMPAGES  \* Arabic  \* MERGEFORMAT </w:instrText>
                          </w:r>
                          <w:r>
                            <w:rPr>
                              <w:rStyle w:val="Huisstijl-Gegeven"/>
                              <w:szCs w:val="17"/>
                            </w:rPr>
                            <w:fldChar w:fldCharType="separate"/>
                          </w:r>
                          <w:r w:rsidR="00143410">
                            <w:rPr>
                              <w:rStyle w:val="Huisstijl-Gegeven"/>
                              <w:noProof/>
                              <w:szCs w:val="17"/>
                            </w:rPr>
                            <w:t>6</w:t>
                          </w:r>
                          <w:r>
                            <w:rPr>
                              <w:rStyle w:val="Huisstijl-Gegeven"/>
                              <w:szCs w:val="17"/>
                            </w:rPr>
                            <w:fldChar w:fldCharType="end"/>
                          </w:r>
                        </w:p>
                      </w:tc>
                    </w:tr>
                    <w:bookmarkEnd w:id="1"/>
                  </w:tbl>
                  <w:p w14:paraId="637BE28C" w14:textId="77777777" w:rsidR="00DA6AA1" w:rsidRDefault="00DA6AA1" w:rsidP="00DA6AA1"/>
                </w:txbxContent>
              </v:textbox>
              <w10:wrap anchorx="page" anchory="page"/>
            </v:shape>
          </w:pict>
        </mc:Fallback>
      </mc:AlternateContent>
    </w:r>
  </w:p>
  <w:p w14:paraId="676DE5CC" w14:textId="77777777" w:rsidR="00D1168C" w:rsidRDefault="00D1168C">
    <w:pPr>
      <w:pStyle w:val="Kopfzeile"/>
    </w:pPr>
  </w:p>
  <w:p w14:paraId="7E15AC28" w14:textId="77777777" w:rsidR="00DA6AA1" w:rsidRDefault="00DA6AA1">
    <w:pPr>
      <w:pStyle w:val="Kopfzeile"/>
    </w:pPr>
  </w:p>
  <w:p w14:paraId="207A6DB3" w14:textId="77777777" w:rsidR="00DA6AA1" w:rsidRDefault="00DA6AA1">
    <w:pPr>
      <w:pStyle w:val="Kopfzeile"/>
    </w:pPr>
  </w:p>
  <w:p w14:paraId="13CF268D" w14:textId="77777777" w:rsidR="00DA6AA1" w:rsidRDefault="00DA6AA1">
    <w:pPr>
      <w:pStyle w:val="Kopfzeile"/>
    </w:pPr>
  </w:p>
  <w:p w14:paraId="0D069D62" w14:textId="77777777" w:rsidR="00DA6AA1" w:rsidRDefault="00DA6AA1">
    <w:pPr>
      <w:pStyle w:val="Kopfzeile"/>
    </w:pPr>
  </w:p>
  <w:p w14:paraId="51D067E1" w14:textId="77777777" w:rsidR="00DA6AA1" w:rsidRDefault="00DA6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D1168C" w:rsidRPr="00201BE5" w14:paraId="0F796CA4" w14:textId="77777777" w:rsidTr="00BB068B">
      <w:trPr>
        <w:gridBefore w:val="2"/>
        <w:wBefore w:w="5136" w:type="dxa"/>
        <w:cantSplit/>
        <w:trHeight w:val="1213"/>
      </w:trPr>
      <w:tc>
        <w:tcPr>
          <w:tcW w:w="4478" w:type="dxa"/>
        </w:tcPr>
        <w:p w14:paraId="59C902B3" w14:textId="77777777" w:rsidR="00D1168C" w:rsidRPr="00201BE5" w:rsidRDefault="00D1168C" w:rsidP="00586B88">
          <w:pPr>
            <w:pStyle w:val="Huisstijl-Sjabloonnaam"/>
            <w:ind w:left="0" w:firstLine="0"/>
            <w:rPr>
              <w:lang w:val="pt-BR"/>
            </w:rPr>
          </w:pPr>
          <w:bookmarkStart w:id="2" w:name="bmSjabloonnaam1" w:colFirst="0" w:colLast="0"/>
          <w:r>
            <w:rPr>
              <w:caps w:val="0"/>
              <w:lang w:eastAsia="de-DE"/>
            </w:rPr>
            <w:drawing>
              <wp:anchor distT="0" distB="0" distL="114300" distR="114300" simplePos="0" relativeHeight="251659264" behindDoc="0" locked="0" layoutInCell="1" allowOverlap="1" wp14:anchorId="159D2725" wp14:editId="48F37C59">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068B" w:rsidRPr="00201BE5" w14:paraId="33F5635B" w14:textId="77777777" w:rsidTr="00BB068B">
      <w:trPr>
        <w:gridBefore w:val="2"/>
        <w:wBefore w:w="5136" w:type="dxa"/>
        <w:cantSplit/>
        <w:trHeight w:val="1213"/>
      </w:trPr>
      <w:tc>
        <w:tcPr>
          <w:tcW w:w="4478" w:type="dxa"/>
        </w:tcPr>
        <w:p w14:paraId="40497A5D" w14:textId="77777777" w:rsidR="00BB068B" w:rsidRDefault="00BB068B" w:rsidP="00BB068B">
          <w:pPr>
            <w:pStyle w:val="Huisstijl-Sjabloonnaam"/>
            <w:ind w:left="0" w:firstLine="0"/>
            <w:rPr>
              <w:sz w:val="22"/>
              <w:szCs w:val="22"/>
            </w:rPr>
          </w:pPr>
          <w:r w:rsidRPr="005254AB">
            <w:rPr>
              <w:sz w:val="22"/>
              <w:szCs w:val="22"/>
            </w:rPr>
            <w:t>EU-Ausschreibung</w:t>
          </w:r>
        </w:p>
        <w:p w14:paraId="5DE810C2" w14:textId="77777777" w:rsidR="00BB068B" w:rsidRPr="00BB068B" w:rsidRDefault="00BB068B" w:rsidP="00BB068B">
          <w:pPr>
            <w:rPr>
              <w:sz w:val="18"/>
              <w:szCs w:val="18"/>
            </w:rPr>
          </w:pPr>
          <w:r w:rsidRPr="00BB068B">
            <w:rPr>
              <w:sz w:val="18"/>
              <w:szCs w:val="18"/>
            </w:rPr>
            <w:t>Rahmenverträge über Prüfdienstleistungen – Los 1 ZÜS – Los 2 Kräne – Los 3 Tanks – Los 4 Blitzschutz und Potentialausgleich – Los DIN VDE0105-100</w:t>
          </w:r>
        </w:p>
        <w:p w14:paraId="2AD7CD8D" w14:textId="77777777" w:rsidR="00BB068B" w:rsidRPr="00BB068B" w:rsidRDefault="00BB068B" w:rsidP="00BB068B"/>
      </w:tc>
    </w:tr>
    <w:tr w:rsidR="00D1168C" w14:paraId="1A9FDFAF" w14:textId="77777777" w:rsidTr="00BB068B">
      <w:trPr>
        <w:cantSplit/>
        <w:trHeight w:val="567"/>
      </w:trPr>
      <w:tc>
        <w:tcPr>
          <w:tcW w:w="4718" w:type="dxa"/>
          <w:shd w:val="clear" w:color="auto" w:fill="auto"/>
        </w:tcPr>
        <w:p w14:paraId="67F15852" w14:textId="77777777" w:rsidR="00D1168C" w:rsidRPr="00507862" w:rsidRDefault="00D1168C" w:rsidP="00586B88">
          <w:pPr>
            <w:tabs>
              <w:tab w:val="left" w:pos="1077"/>
            </w:tabs>
            <w:spacing w:line="210" w:lineRule="exact"/>
            <w:ind w:left="1077" w:hanging="1077"/>
            <w:rPr>
              <w:rStyle w:val="Huisstijl-Naw"/>
            </w:rPr>
          </w:pPr>
          <w:bookmarkStart w:id="3" w:name="bmGegevens1" w:colFirst="2" w:colLast="2"/>
          <w:bookmarkStart w:id="4" w:name="bmNaw1" w:colFirst="0" w:colLast="0"/>
          <w:bookmarkEnd w:id="2"/>
        </w:p>
      </w:tc>
      <w:tc>
        <w:tcPr>
          <w:tcW w:w="420" w:type="dxa"/>
        </w:tcPr>
        <w:p w14:paraId="30D63FD2" w14:textId="77777777" w:rsidR="00D1168C" w:rsidRDefault="00D1168C" w:rsidP="00586B88">
          <w:pPr>
            <w:spacing w:line="210" w:lineRule="exact"/>
          </w:pPr>
        </w:p>
      </w:tc>
      <w:tc>
        <w:tcPr>
          <w:tcW w:w="4479" w:type="dxa"/>
        </w:tcPr>
        <w:p w14:paraId="265B22B3" w14:textId="77777777" w:rsidR="00D1168C" w:rsidRDefault="00D1168C" w:rsidP="00586B8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Pr>
              <w:rStyle w:val="Huisstijl-Gegeven"/>
              <w:szCs w:val="17"/>
            </w:rPr>
            <w:fldChar w:fldCharType="begin"/>
          </w:r>
          <w:r>
            <w:rPr>
              <w:rStyle w:val="Huisstijl-Gegeven"/>
              <w:szCs w:val="17"/>
            </w:rPr>
            <w:instrText xml:space="preserve"> DATE  </w:instrText>
          </w:r>
          <w:r>
            <w:rPr>
              <w:rStyle w:val="Huisstijl-Gegeven"/>
              <w:szCs w:val="17"/>
            </w:rPr>
            <w:fldChar w:fldCharType="separate"/>
          </w:r>
          <w:r w:rsidR="00EF03DE">
            <w:rPr>
              <w:rStyle w:val="Huisstijl-Gegeven"/>
              <w:noProof/>
              <w:szCs w:val="17"/>
            </w:rPr>
            <w:t>15.02.2023</w:t>
          </w:r>
          <w:r>
            <w:rPr>
              <w:rStyle w:val="Huisstijl-Gegeven"/>
              <w:szCs w:val="17"/>
            </w:rPr>
            <w:fldChar w:fldCharType="end"/>
          </w:r>
        </w:p>
        <w:p w14:paraId="114EE47A" w14:textId="77777777" w:rsidR="00D1168C" w:rsidRPr="00507862" w:rsidRDefault="00D1168C" w:rsidP="00586B8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143410">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143410" w:rsidRPr="00143410">
            <w:rPr>
              <w:rStyle w:val="Huisstijl-Gegeven"/>
              <w:noProof/>
            </w:rPr>
            <w:t>6</w:t>
          </w:r>
          <w:r w:rsidRPr="00525CBB">
            <w:rPr>
              <w:sz w:val="17"/>
              <w:szCs w:val="17"/>
            </w:rPr>
            <w:fldChar w:fldCharType="end"/>
          </w:r>
        </w:p>
      </w:tc>
    </w:tr>
    <w:bookmarkEnd w:id="3"/>
    <w:bookmarkEnd w:id="4"/>
  </w:tbl>
  <w:p w14:paraId="0254FB5E" w14:textId="77777777" w:rsidR="00D1168C" w:rsidRDefault="00D116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 w15:restartNumberingAfterBreak="0">
    <w:nsid w:val="11C32B9E"/>
    <w:multiLevelType w:val="hybridMultilevel"/>
    <w:tmpl w:val="04268644"/>
    <w:lvl w:ilvl="0" w:tplc="71B21A16">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73A76"/>
    <w:multiLevelType w:val="hybridMultilevel"/>
    <w:tmpl w:val="A3D23F04"/>
    <w:lvl w:ilvl="0" w:tplc="F77A9506">
      <w:start w:val="1"/>
      <w:numFmt w:val="decimal"/>
      <w:lvlText w:val="(%1)"/>
      <w:lvlJc w:val="left"/>
      <w:pPr>
        <w:ind w:left="1287" w:hanging="360"/>
      </w:pPr>
      <w:rPr>
        <w:rFonts w:hint="default"/>
        <w:b/>
        <w:bCs/>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243119FA"/>
    <w:multiLevelType w:val="hybridMultilevel"/>
    <w:tmpl w:val="093449EE"/>
    <w:lvl w:ilvl="0" w:tplc="B284012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5" w15:restartNumberingAfterBreak="0">
    <w:nsid w:val="2D636C29"/>
    <w:multiLevelType w:val="hybridMultilevel"/>
    <w:tmpl w:val="D9B23D68"/>
    <w:lvl w:ilvl="0" w:tplc="36A83B40">
      <w:start w:val="1"/>
      <w:numFmt w:val="decimal"/>
      <w:lvlText w:val="(%1)"/>
      <w:lvlJc w:val="left"/>
      <w:pPr>
        <w:ind w:left="1854" w:hanging="360"/>
      </w:pPr>
      <w:rPr>
        <w:rFonts w:hint="default"/>
        <w:b/>
        <w:bCs/>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6" w15:restartNumberingAfterBreak="0">
    <w:nsid w:val="32BA3F3D"/>
    <w:multiLevelType w:val="hybridMultilevel"/>
    <w:tmpl w:val="A1CED0C8"/>
    <w:lvl w:ilvl="0" w:tplc="0A6074EE">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4B03CF"/>
    <w:multiLevelType w:val="hybridMultilevel"/>
    <w:tmpl w:val="8CCE5366"/>
    <w:lvl w:ilvl="0" w:tplc="D670344A">
      <w:start w:val="4"/>
      <w:numFmt w:val="decimal"/>
      <w:lvlText w:val="(%1)"/>
      <w:lvlJc w:val="left"/>
      <w:pPr>
        <w:ind w:left="502"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8E333D"/>
    <w:multiLevelType w:val="hybridMultilevel"/>
    <w:tmpl w:val="1332B2F0"/>
    <w:lvl w:ilvl="0" w:tplc="11149F82">
      <w:start w:val="1"/>
      <w:numFmt w:val="decimal"/>
      <w:lvlText w:val="(%1)"/>
      <w:lvlJc w:val="left"/>
      <w:pPr>
        <w:tabs>
          <w:tab w:val="num" w:pos="851"/>
        </w:tabs>
        <w:ind w:left="851" w:hanging="567"/>
      </w:pPr>
      <w:rPr>
        <w:rFonts w:hint="default"/>
        <w:b/>
        <w:bCs/>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0" w15:restartNumberingAfterBreak="0">
    <w:nsid w:val="6D3A088B"/>
    <w:multiLevelType w:val="hybridMultilevel"/>
    <w:tmpl w:val="C3C4E40E"/>
    <w:lvl w:ilvl="0" w:tplc="A12202F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9620275">
    <w:abstractNumId w:val="7"/>
  </w:num>
  <w:num w:numId="2" w16cid:durableId="157161343">
    <w:abstractNumId w:val="4"/>
  </w:num>
  <w:num w:numId="3" w16cid:durableId="1979846258">
    <w:abstractNumId w:val="2"/>
  </w:num>
  <w:num w:numId="4" w16cid:durableId="808016402">
    <w:abstractNumId w:val="10"/>
  </w:num>
  <w:num w:numId="5" w16cid:durableId="871266790">
    <w:abstractNumId w:val="1"/>
  </w:num>
  <w:num w:numId="6" w16cid:durableId="435255923">
    <w:abstractNumId w:val="0"/>
  </w:num>
  <w:num w:numId="7" w16cid:durableId="447629385">
    <w:abstractNumId w:val="5"/>
  </w:num>
  <w:num w:numId="8" w16cid:durableId="2062895467">
    <w:abstractNumId w:val="9"/>
  </w:num>
  <w:num w:numId="9" w16cid:durableId="669605802">
    <w:abstractNumId w:val="3"/>
  </w:num>
  <w:num w:numId="10" w16cid:durableId="229049142">
    <w:abstractNumId w:val="8"/>
  </w:num>
  <w:num w:numId="11" w16cid:durableId="18839030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Q9m8ZZWiS/YLDXNItIRiplDtibefgaEpkignmiaUYAxZnVNhhdxGDb73yfJt266un2ltRvq+B5aGfCNo1pBcrg==" w:salt="Z7fwh1N/1BrG2UY/+2tY1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8C"/>
    <w:rsid w:val="00143410"/>
    <w:rsid w:val="001C69E1"/>
    <w:rsid w:val="001E308E"/>
    <w:rsid w:val="00281CED"/>
    <w:rsid w:val="00695815"/>
    <w:rsid w:val="006C5135"/>
    <w:rsid w:val="00737F60"/>
    <w:rsid w:val="007570B6"/>
    <w:rsid w:val="00865523"/>
    <w:rsid w:val="008F044F"/>
    <w:rsid w:val="009C0CE9"/>
    <w:rsid w:val="009D1CBC"/>
    <w:rsid w:val="00B315EB"/>
    <w:rsid w:val="00BB068B"/>
    <w:rsid w:val="00BB72B1"/>
    <w:rsid w:val="00BC249B"/>
    <w:rsid w:val="00BE6C1E"/>
    <w:rsid w:val="00C07002"/>
    <w:rsid w:val="00D1168C"/>
    <w:rsid w:val="00DA6AA1"/>
    <w:rsid w:val="00EF03DE"/>
    <w:rsid w:val="00F00A00"/>
    <w:rsid w:val="00F544F3"/>
    <w:rsid w:val="00FA3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C1160"/>
  <w15:docId w15:val="{DE9E532D-BE1A-4A59-BA39-9BA30C28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168C"/>
    <w:pPr>
      <w:widowControl w:val="0"/>
      <w:adjustRightInd w:val="0"/>
      <w:spacing w:after="0" w:line="300" w:lineRule="exact"/>
    </w:pPr>
    <w:rPr>
      <w:rFonts w:ascii="Arial" w:eastAsia="Times New Roman" w:hAnsi="Arial" w:cs="Times New Roman"/>
      <w:sz w:val="20"/>
      <w:szCs w:val="20"/>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1168C"/>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D1168C"/>
    <w:pPr>
      <w:widowControl/>
      <w:numPr>
        <w:numId w:val="6"/>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D1168C"/>
    <w:pPr>
      <w:widowControl/>
      <w:adjustRightInd/>
      <w:spacing w:after="120" w:line="260" w:lineRule="atLeast"/>
      <w:ind w:left="708"/>
      <w:jc w:val="both"/>
    </w:pPr>
    <w:rPr>
      <w:rFonts w:ascii="Univers" w:hAnsi="Univers"/>
      <w:szCs w:val="24"/>
      <w:lang w:eastAsia="de-DE"/>
    </w:rPr>
  </w:style>
  <w:style w:type="paragraph" w:styleId="Kopfzeile">
    <w:name w:val="header"/>
    <w:basedOn w:val="Standard"/>
    <w:link w:val="KopfzeileZchn"/>
    <w:uiPriority w:val="99"/>
    <w:unhideWhenUsed/>
    <w:rsid w:val="00D116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168C"/>
    <w:rPr>
      <w:rFonts w:ascii="Arial" w:eastAsia="Times New Roman" w:hAnsi="Arial" w:cs="Times New Roman"/>
      <w:sz w:val="20"/>
      <w:szCs w:val="20"/>
      <w:lang w:eastAsia="nl-NL"/>
    </w:rPr>
  </w:style>
  <w:style w:type="paragraph" w:styleId="Fuzeile">
    <w:name w:val="footer"/>
    <w:basedOn w:val="Standard"/>
    <w:link w:val="FuzeileZchn"/>
    <w:uiPriority w:val="99"/>
    <w:unhideWhenUsed/>
    <w:rsid w:val="00D1168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168C"/>
    <w:rPr>
      <w:rFonts w:ascii="Arial" w:eastAsia="Times New Roman" w:hAnsi="Arial" w:cs="Times New Roman"/>
      <w:sz w:val="20"/>
      <w:szCs w:val="20"/>
      <w:lang w:eastAsia="nl-NL"/>
    </w:rPr>
  </w:style>
  <w:style w:type="character" w:customStyle="1" w:styleId="Huisstijl-Gegeven">
    <w:name w:val="Huisstijl-Gegeven"/>
    <w:basedOn w:val="Absatz-Standardschriftart"/>
    <w:uiPriority w:val="2"/>
    <w:semiHidden/>
    <w:rsid w:val="00D1168C"/>
    <w:rPr>
      <w:rFonts w:ascii="Arial" w:hAnsi="Arial"/>
      <w:sz w:val="17"/>
    </w:rPr>
  </w:style>
  <w:style w:type="character" w:customStyle="1" w:styleId="Huisstijl-Naw">
    <w:name w:val="Huisstijl-Naw"/>
    <w:basedOn w:val="Absatz-Standardschriftart"/>
    <w:uiPriority w:val="2"/>
    <w:semiHidden/>
    <w:rsid w:val="00D1168C"/>
    <w:rPr>
      <w:rFonts w:ascii="Arial" w:hAnsi="Arial"/>
      <w:sz w:val="17"/>
    </w:rPr>
  </w:style>
  <w:style w:type="paragraph" w:customStyle="1" w:styleId="Huisstijl-Sjabloonnaam">
    <w:name w:val="Huisstijl-Sjabloonnaam"/>
    <w:basedOn w:val="Standard"/>
    <w:next w:val="Standard"/>
    <w:uiPriority w:val="2"/>
    <w:semiHidden/>
    <w:rsid w:val="00D1168C"/>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D1168C"/>
    <w:rPr>
      <w:rFonts w:ascii="Arial" w:hAnsi="Arial"/>
      <w:b/>
      <w:caps/>
      <w:noProof/>
      <w:sz w:val="12"/>
    </w:rPr>
  </w:style>
  <w:style w:type="character" w:customStyle="1" w:styleId="Huisstijl-OnderwerpGegeven">
    <w:name w:val="Huisstijl-OnderwerpGegeven"/>
    <w:basedOn w:val="Huisstijl-Gegeven"/>
    <w:uiPriority w:val="2"/>
    <w:semiHidden/>
    <w:qFormat/>
    <w:rsid w:val="00D1168C"/>
    <w:rPr>
      <w:rFonts w:ascii="Arial" w:hAnsi="Arial"/>
      <w:sz w:val="20"/>
    </w:rPr>
  </w:style>
  <w:style w:type="paragraph" w:styleId="Sprechblasentext">
    <w:name w:val="Balloon Text"/>
    <w:basedOn w:val="Standard"/>
    <w:link w:val="SprechblasentextZchn"/>
    <w:uiPriority w:val="99"/>
    <w:semiHidden/>
    <w:unhideWhenUsed/>
    <w:rsid w:val="00D1168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68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4058D-AF0D-4B85-899C-70D6AF4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C90CE9-FC4D-4542-8C3D-41B6CBAA5ECA}">
  <ds:schemaRefs>
    <ds:schemaRef ds:uri="http://schemas.openxmlformats.org/officeDocument/2006/bibliography"/>
  </ds:schemaRefs>
</ds:datastoreItem>
</file>

<file path=customXml/itemProps3.xml><?xml version="1.0" encoding="utf-8"?>
<ds:datastoreItem xmlns:ds="http://schemas.openxmlformats.org/officeDocument/2006/customXml" ds:itemID="{5AAF247E-09F5-48C6-959F-5FBC0A985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9437</Characters>
  <Application>Microsoft Office Word</Application>
  <DocSecurity>8</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TenneT</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Trapp, Kerstin</dc:creator>
  <cp:lastModifiedBy>Gerlach, Jana</cp:lastModifiedBy>
  <cp:revision>2</cp:revision>
  <dcterms:created xsi:type="dcterms:W3CDTF">2023-02-15T20:44:00Z</dcterms:created>
  <dcterms:modified xsi:type="dcterms:W3CDTF">2023-02-15T20:49:00Z</dcterms:modified>
</cp:coreProperties>
</file>