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E4" w:rsidRPr="008E33C9" w:rsidRDefault="00EF0FE4" w:rsidP="00EF0FE4">
      <w:pPr>
        <w:jc w:val="center"/>
        <w:rPr>
          <w:b/>
          <w:bCs/>
          <w:noProof w:val="0"/>
        </w:rPr>
      </w:pPr>
      <w:r w:rsidRPr="008E33C9">
        <w:rPr>
          <w:b/>
          <w:bCs/>
          <w:noProof w:val="0"/>
        </w:rPr>
        <w:t>Инструкция за участника в конкурс</w:t>
      </w:r>
    </w:p>
    <w:p w:rsidR="00EF0FE4" w:rsidRPr="008E33C9" w:rsidRDefault="00EF0FE4" w:rsidP="00EF0FE4">
      <w:pPr>
        <w:tabs>
          <w:tab w:val="left" w:pos="284"/>
        </w:tabs>
        <w:ind w:firstLine="284"/>
        <w:jc w:val="center"/>
        <w:rPr>
          <w:b/>
          <w:sz w:val="24"/>
          <w:szCs w:val="24"/>
        </w:rPr>
      </w:pP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284"/>
          <w:tab w:val="left" w:pos="567"/>
        </w:tabs>
        <w:ind w:left="0" w:firstLine="0"/>
        <w:contextualSpacing w:val="0"/>
      </w:pPr>
      <w:r w:rsidRPr="008E33C9">
        <w:t>Инструкцията за участник в конкурс е съставна част от конкурсната документация.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284"/>
          <w:tab w:val="left" w:pos="567"/>
        </w:tabs>
        <w:ind w:left="0" w:firstLine="0"/>
        <w:contextualSpacing w:val="0"/>
      </w:pPr>
      <w:r w:rsidRPr="008E33C9">
        <w:t>Участникът поема за своя сметка всички разходи, свързани с подготовката и подаването на своето конкурсно предложение.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284"/>
          <w:tab w:val="left" w:pos="567"/>
        </w:tabs>
        <w:ind w:left="0" w:firstLine="0"/>
        <w:contextualSpacing w:val="0"/>
      </w:pPr>
      <w:r w:rsidRPr="008E33C9">
        <w:t>„ЛУКОЙЛ Нефтохим Бургас“ АД (по-нататък в текста – Организатор на конкурса) не носи отговорност и не поема задължението по заплащане на разходите, независимо от характера (формата) на провеждане на конкурса и резултатите от него.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284"/>
          <w:tab w:val="left" w:pos="567"/>
        </w:tabs>
        <w:ind w:left="0" w:firstLine="0"/>
        <w:contextualSpacing w:val="0"/>
      </w:pPr>
      <w:r w:rsidRPr="008E33C9">
        <w:t>Организаторът на конкурса предоставя на Участника настоящата Инструкция и друга документация по конкурса, необходима за подготвянето на конкурсно предложение в съответствие с изискванията и условията на Организатора на конкурса, описани в конкурсната документация.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284"/>
          <w:tab w:val="left" w:pos="567"/>
        </w:tabs>
        <w:ind w:left="0" w:firstLine="0"/>
        <w:contextualSpacing w:val="0"/>
      </w:pPr>
      <w:r w:rsidRPr="008E33C9">
        <w:t>Участникът в конкурса приема да третира информацията от конкурсната документация като конфиденциална и да избягва разкриването и на трети страни. Водената по конкурса кореспонденция също се третира като конфиденциална.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284"/>
          <w:tab w:val="left" w:pos="567"/>
        </w:tabs>
        <w:ind w:left="0" w:firstLine="0"/>
        <w:contextualSpacing w:val="0"/>
      </w:pPr>
      <w:r w:rsidRPr="008E33C9">
        <w:t>Организаторът на конкурса изхожда от факта, че участника е длъжен да проучи всички условия и изисквания, съдържащи се в предоставената му за тази цел конкурсна документация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284"/>
          <w:tab w:val="left" w:pos="567"/>
        </w:tabs>
        <w:ind w:left="0" w:firstLine="0"/>
        <w:contextualSpacing w:val="0"/>
      </w:pPr>
      <w:r w:rsidRPr="008E33C9">
        <w:t>Конкурсно предложение на Участник, което не отговаря на техническите изисквания, не се допуска до класиране.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284"/>
          <w:tab w:val="left" w:pos="567"/>
        </w:tabs>
        <w:ind w:left="0" w:firstLine="0"/>
        <w:contextualSpacing w:val="0"/>
      </w:pPr>
      <w:r w:rsidRPr="008E33C9">
        <w:t xml:space="preserve">Участникът може да поиска от Организатора на конкурса да му бъдат разяснени някои от изискванията на конкурсната документация. </w:t>
      </w:r>
      <w:r w:rsidRPr="008E33C9">
        <w:rPr>
          <w:u w:val="single"/>
        </w:rPr>
        <w:t>Разменяната кореспонденция по конкретен въпрос трябва да се осъществява само и единствено чрез секция „Въпроси и отговори“ от система Negometrix.</w:t>
      </w:r>
    </w:p>
    <w:p w:rsidR="00EF0FE4" w:rsidRPr="008E33C9" w:rsidRDefault="00EF0FE4" w:rsidP="00EF0FE4">
      <w:pPr>
        <w:tabs>
          <w:tab w:val="left" w:pos="284"/>
          <w:tab w:val="left" w:pos="851"/>
        </w:tabs>
      </w:pPr>
      <w:r w:rsidRPr="008E33C9">
        <w:t xml:space="preserve">Организаторът на конкурса е длъжен да отговори на всяко едно запитване от Участника, постъпило не по-късно от 5 (пет) работни дни преди срока за подаване на конкурсни предложения, </w:t>
      </w:r>
      <w:r w:rsidRPr="008E33C9">
        <w:rPr>
          <w:u w:val="single"/>
        </w:rPr>
        <w:t>указан в Графика на конкурса</w:t>
      </w:r>
      <w:r w:rsidRPr="008E33C9">
        <w:t>.</w:t>
      </w:r>
    </w:p>
    <w:p w:rsidR="00EF0FE4" w:rsidRPr="008E33C9" w:rsidRDefault="00EF0FE4" w:rsidP="00EF0FE4">
      <w:pPr>
        <w:tabs>
          <w:tab w:val="left" w:pos="284"/>
          <w:tab w:val="left" w:pos="851"/>
        </w:tabs>
        <w:rPr>
          <w:b/>
          <w:u w:val="single"/>
        </w:rPr>
      </w:pPr>
      <w:r w:rsidRPr="008E33C9"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EF0FE4" w:rsidRPr="008E33C9" w:rsidRDefault="00EF0FE4" w:rsidP="00EF0FE4">
      <w:pPr>
        <w:tabs>
          <w:tab w:val="left" w:pos="284"/>
          <w:tab w:val="left" w:pos="851"/>
        </w:tabs>
        <w:rPr>
          <w:b/>
          <w:u w:val="single"/>
        </w:rPr>
      </w:pPr>
      <w:r w:rsidRPr="008E33C9">
        <w:rPr>
          <w:b/>
          <w:u w:val="single"/>
        </w:rPr>
        <w:t>ВАЖНО: На постъпили запитвания (въпроси) извън системата Negometrix Организатора на конкурса не е длъжен да отговаря.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284"/>
          <w:tab w:val="left" w:pos="567"/>
        </w:tabs>
        <w:ind w:left="0" w:firstLine="0"/>
        <w:contextualSpacing w:val="0"/>
      </w:pPr>
      <w:r w:rsidRPr="008E33C9">
        <w:t>Организаторът на конкурса, е в правото си, преди настъпването на крайния срок за предоставяне на конкурсно предложение, да внесе изменения в конкурсната документация, като при това удължи срока за предоставяне на конкурсни предложения.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284"/>
          <w:tab w:val="left" w:pos="567"/>
        </w:tabs>
        <w:ind w:left="0" w:firstLine="0"/>
        <w:contextualSpacing w:val="0"/>
      </w:pPr>
      <w:r w:rsidRPr="008E33C9">
        <w:t>Участникът трябва да отговаря на минималните квалификационни и на други изисквания на Конкурсната документация.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284"/>
          <w:tab w:val="left" w:pos="567"/>
        </w:tabs>
        <w:ind w:left="0" w:firstLine="0"/>
        <w:contextualSpacing w:val="0"/>
      </w:pPr>
      <w:r w:rsidRPr="008E33C9">
        <w:t>Организаторът на конкурса се задължава да спазва конфиденциалност на информацията в конкурсното предложение.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284"/>
          <w:tab w:val="left" w:pos="567"/>
        </w:tabs>
        <w:ind w:left="0" w:firstLine="0"/>
        <w:contextualSpacing w:val="0"/>
      </w:pPr>
      <w:r w:rsidRPr="008E33C9">
        <w:t>Организаторът на конкурса има право:</w:t>
      </w:r>
    </w:p>
    <w:p w:rsidR="00EF0FE4" w:rsidRPr="008E33C9" w:rsidRDefault="00EF0FE4" w:rsidP="00EF0FE4">
      <w:pPr>
        <w:numPr>
          <w:ilvl w:val="0"/>
          <w:numId w:val="2"/>
        </w:numPr>
        <w:rPr>
          <w:lang w:eastAsia="ru-RU"/>
        </w:rPr>
      </w:pPr>
      <w:r w:rsidRPr="008E33C9">
        <w:rPr>
          <w:lang w:eastAsia="ru-RU"/>
        </w:rPr>
        <w:t>да не допуска до участие в конкурса което и да е от конкурсните предложения, ако то не отговаря на изискванията на конкурсната документация и/или други изисквания;</w:t>
      </w:r>
    </w:p>
    <w:p w:rsidR="00EF0FE4" w:rsidRPr="008E33C9" w:rsidRDefault="00EF0FE4" w:rsidP="00EF0FE4">
      <w:pPr>
        <w:numPr>
          <w:ilvl w:val="0"/>
          <w:numId w:val="2"/>
        </w:numPr>
        <w:rPr>
          <w:lang w:eastAsia="ru-RU"/>
        </w:rPr>
      </w:pPr>
      <w:r w:rsidRPr="008E33C9">
        <w:rPr>
          <w:lang w:eastAsia="ru-RU"/>
        </w:rPr>
        <w:t>да анулира конкурса на всеки един от неговите етапи, в това число и след избора на победител в конкурса, но преди сключването на договора;</w:t>
      </w:r>
    </w:p>
    <w:p w:rsidR="00EF0FE4" w:rsidRPr="008E33C9" w:rsidRDefault="00EF0FE4" w:rsidP="00EF0FE4">
      <w:pPr>
        <w:numPr>
          <w:ilvl w:val="0"/>
          <w:numId w:val="2"/>
        </w:numPr>
        <w:rPr>
          <w:lang w:eastAsia="ru-RU"/>
        </w:rPr>
      </w:pPr>
      <w:r w:rsidRPr="008E33C9">
        <w:rPr>
          <w:lang w:eastAsia="ru-RU"/>
        </w:rPr>
        <w:t>да не мотивира пред претендентите което и да е от взетите по конкурса решения.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567"/>
          <w:tab w:val="left" w:pos="709"/>
        </w:tabs>
        <w:ind w:left="0" w:firstLine="0"/>
        <w:contextualSpacing w:val="0"/>
      </w:pPr>
      <w:r w:rsidRPr="008E33C9">
        <w:t>Изисквания относно структурирането на конкурсното предложение</w:t>
      </w:r>
    </w:p>
    <w:p w:rsidR="00EF0FE4" w:rsidRPr="008E33C9" w:rsidRDefault="00EF0FE4" w:rsidP="00EF0FE4">
      <w:pPr>
        <w:tabs>
          <w:tab w:val="left" w:pos="709"/>
        </w:tabs>
      </w:pPr>
      <w:r w:rsidRPr="008E33C9">
        <w:t>Конкурсното предложение се подготвя в електронен вид и трябва да бъде структурирано съгласно изискванията, указани от Организатора в системата Negometrix.</w:t>
      </w:r>
    </w:p>
    <w:p w:rsidR="00EF0FE4" w:rsidRPr="008E33C9" w:rsidRDefault="00EF0FE4" w:rsidP="00EF0FE4">
      <w:pPr>
        <w:tabs>
          <w:tab w:val="left" w:pos="709"/>
        </w:tabs>
      </w:pPr>
      <w:r w:rsidRPr="008E33C9">
        <w:lastRenderedPageBreak/>
        <w:t>Представят се подписани от упълномощено лице, представляващо фирмата, и подпечатани оферти (формат *.pdf), съдържащи необходимата информация, посочена в конкурсната документация.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567"/>
          <w:tab w:val="left" w:pos="709"/>
        </w:tabs>
        <w:ind w:left="0" w:firstLine="0"/>
        <w:contextualSpacing w:val="0"/>
        <w:rPr>
          <w:rFonts w:eastAsia="Calibri"/>
        </w:rPr>
      </w:pPr>
      <w:r w:rsidRPr="008E33C9">
        <w:rPr>
          <w:rFonts w:eastAsia="Calibri"/>
        </w:rPr>
        <w:t>С предоставянето на конкурсното предложение Участникът потвърждава, че се е запознал, разбрал и изцяло приел всички условия и изисквания на Конкурсната документация, включително проектодоговора (ако е приложен).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284"/>
          <w:tab w:val="left" w:pos="709"/>
        </w:tabs>
        <w:ind w:left="0" w:firstLine="0"/>
        <w:contextualSpacing w:val="0"/>
      </w:pPr>
      <w:r w:rsidRPr="008E33C9">
        <w:t>Предоставяне на конкурсно предложение</w:t>
      </w:r>
    </w:p>
    <w:p w:rsidR="00EF0FE4" w:rsidRPr="008E33C9" w:rsidRDefault="00EF0FE4" w:rsidP="00EF0FE4">
      <w:pPr>
        <w:pStyle w:val="ListParagraph"/>
        <w:tabs>
          <w:tab w:val="left" w:pos="284"/>
          <w:tab w:val="left" w:pos="709"/>
        </w:tabs>
        <w:ind w:left="0"/>
        <w:contextualSpacing w:val="0"/>
      </w:pPr>
      <w:r w:rsidRPr="008E33C9">
        <w:t xml:space="preserve">Конкурсното предложение трябва да бъде предоставено </w:t>
      </w:r>
      <w:r w:rsidRPr="008E33C9">
        <w:rPr>
          <w:u w:val="single"/>
        </w:rPr>
        <w:t>до крайния срок</w:t>
      </w:r>
      <w:r w:rsidRPr="008E33C9">
        <w:rPr>
          <w:i/>
          <w:u w:val="single"/>
        </w:rPr>
        <w:t>,</w:t>
      </w:r>
      <w:r w:rsidRPr="008E33C9">
        <w:rPr>
          <w:u w:val="single"/>
        </w:rPr>
        <w:t xml:space="preserve"> указан в Графика на конкурса.</w:t>
      </w:r>
      <w:r w:rsidRPr="008E33C9">
        <w:t xml:space="preserve"> След изтичане на този срок Участникът няма да има възможност да подаде предложението си.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426"/>
          <w:tab w:val="left" w:pos="709"/>
        </w:tabs>
        <w:ind w:left="0" w:firstLine="0"/>
        <w:contextualSpacing w:val="0"/>
      </w:pPr>
      <w:r w:rsidRPr="008E33C9">
        <w:t>Конкурсното предложение се предоставя на Организатора чрез системата Negometrix.</w:t>
      </w:r>
    </w:p>
    <w:p w:rsidR="00EF0FE4" w:rsidRPr="008E33C9" w:rsidRDefault="00EF0FE4" w:rsidP="00EF0FE4">
      <w:pPr>
        <w:pStyle w:val="ListParagraph"/>
        <w:tabs>
          <w:tab w:val="left" w:pos="426"/>
          <w:tab w:val="left" w:pos="709"/>
        </w:tabs>
        <w:ind w:left="0"/>
        <w:contextualSpacing w:val="0"/>
      </w:pPr>
      <w:r w:rsidRPr="008E33C9">
        <w:rPr>
          <w:b/>
          <w:u w:val="single"/>
        </w:rPr>
        <w:t xml:space="preserve">ВАЖНО: </w:t>
      </w:r>
      <w:r w:rsidRPr="008E33C9">
        <w:rPr>
          <w:b/>
        </w:rPr>
        <w:t>Ако претендентът предостави своето Конкурсно предложение по електронна поща (или друг начин), тогава Организаторът ще счита предложението за неполучено</w:t>
      </w:r>
      <w:r w:rsidRPr="008E33C9">
        <w:t>.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426"/>
          <w:tab w:val="left" w:pos="709"/>
        </w:tabs>
        <w:ind w:left="0" w:firstLine="0"/>
        <w:contextualSpacing w:val="0"/>
      </w:pPr>
      <w:r w:rsidRPr="008E33C9">
        <w:t>Не се разрешават промени в конкурсното предложение по инициатива на Участника след крайния срок за предоставяне на предложението.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426"/>
          <w:tab w:val="left" w:pos="709"/>
        </w:tabs>
        <w:ind w:left="0" w:firstLine="0"/>
        <w:contextualSpacing w:val="0"/>
      </w:pPr>
      <w:r w:rsidRPr="008E33C9">
        <w:t>Организаторът на конкурса може да поиска от Участника, а Участника може да приеме искане за удължаване на валидността на конкурсното предложение.</w:t>
      </w:r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426"/>
          <w:tab w:val="left" w:pos="709"/>
        </w:tabs>
        <w:ind w:left="0" w:firstLine="0"/>
        <w:contextualSpacing w:val="0"/>
      </w:pPr>
      <w:r w:rsidRPr="008E33C9">
        <w:t>Организаторът на конкурса има право да поиска от Участниците да разясн</w:t>
      </w:r>
      <w:bookmarkStart w:id="0" w:name="_Toc447787286"/>
      <w:r w:rsidRPr="008E33C9">
        <w:t>ят своите Конкурсни предложения.</w:t>
      </w:r>
      <w:bookmarkEnd w:id="0"/>
    </w:p>
    <w:p w:rsidR="00EF0FE4" w:rsidRPr="008E33C9" w:rsidRDefault="00EF0FE4" w:rsidP="00EF0FE4">
      <w:pPr>
        <w:pStyle w:val="ListParagraph"/>
        <w:numPr>
          <w:ilvl w:val="0"/>
          <w:numId w:val="1"/>
        </w:numPr>
        <w:tabs>
          <w:tab w:val="clear" w:pos="1425"/>
          <w:tab w:val="left" w:pos="426"/>
          <w:tab w:val="left" w:pos="709"/>
        </w:tabs>
        <w:ind w:left="0" w:firstLine="0"/>
        <w:contextualSpacing w:val="0"/>
      </w:pPr>
      <w:r w:rsidRPr="008E33C9">
        <w:t>Победителят в конкурса има правото да сключи договор с Възложителя „ЛУКОЙЛ Нефтохим Бургас“ АД при усл</w:t>
      </w:r>
      <w:bookmarkStart w:id="1" w:name="_GoBack"/>
      <w:bookmarkEnd w:id="1"/>
      <w:r w:rsidRPr="008E33C9">
        <w:t>овията на своето конкурсно предложение и конкурсната документация на Възложителя.</w:t>
      </w:r>
    </w:p>
    <w:sectPr w:rsidR="00EF0FE4" w:rsidRPr="008E33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41CC72F0"/>
    <w:multiLevelType w:val="hybridMultilevel"/>
    <w:tmpl w:val="66C613D2"/>
    <w:lvl w:ilvl="0" w:tplc="B7FE2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25"/>
    <w:rsid w:val="00DB3C6C"/>
    <w:rsid w:val="00E62625"/>
    <w:rsid w:val="00E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0BC57-787B-4036-AD1F-8ED8EFB8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FE4"/>
    <w:pPr>
      <w:spacing w:before="12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EF0FE4"/>
  </w:style>
  <w:style w:type="paragraph" w:styleId="ListParagraph">
    <w:name w:val="List Paragraph"/>
    <w:aliases w:val="Нумерованый список,List Paragraph1,Ioia?iaaiue nienie,Aacao nienea,Bulleted Text"/>
    <w:basedOn w:val="Normal"/>
    <w:link w:val="ListParagraphChar"/>
    <w:uiPriority w:val="34"/>
    <w:qFormat/>
    <w:rsid w:val="00EF0FE4"/>
    <w:pPr>
      <w:ind w:left="720"/>
      <w:contextualSpacing/>
    </w:pPr>
  </w:style>
  <w:style w:type="character" w:customStyle="1" w:styleId="ListParagraphChar">
    <w:name w:val="List Paragraph Char"/>
    <w:aliases w:val="Нумерованый список Char,List Paragraph1 Char,Ioia?iaaiue nienie Char,Aacao nienea Char,Bulleted Text Char"/>
    <w:link w:val="ListParagraph"/>
    <w:uiPriority w:val="34"/>
    <w:locked/>
    <w:rsid w:val="00EF0FE4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3857</Characters>
  <Application>Microsoft Office Word</Application>
  <DocSecurity>0</DocSecurity>
  <Lines>32</Lines>
  <Paragraphs>9</Paragraphs>
  <ScaleCrop>false</ScaleCrop>
  <Company>LNHB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 Златев Златев</dc:creator>
  <cp:keywords/>
  <dc:description/>
  <cp:lastModifiedBy>Тодор Златев Златев</cp:lastModifiedBy>
  <cp:revision>2</cp:revision>
  <dcterms:created xsi:type="dcterms:W3CDTF">2018-08-31T10:24:00Z</dcterms:created>
  <dcterms:modified xsi:type="dcterms:W3CDTF">2018-08-31T10:25:00Z</dcterms:modified>
</cp:coreProperties>
</file>